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6E" w:rsidRPr="00C15F72" w:rsidRDefault="00316E6E" w:rsidP="00316E6E">
      <w:pPr>
        <w:rPr>
          <w:rFonts w:ascii="Arial" w:hAnsi="Arial" w:cs="Arial"/>
          <w:b/>
          <w:color w:val="000000"/>
        </w:rPr>
      </w:pPr>
      <w:bookmarkStart w:id="0" w:name="_GoBack"/>
      <w:bookmarkEnd w:id="0"/>
      <w:r w:rsidRPr="00C15F72">
        <w:rPr>
          <w:rFonts w:ascii="Arial" w:hAnsi="Arial" w:cs="Arial"/>
          <w:b/>
          <w:color w:val="000000"/>
        </w:rPr>
        <w:t>Form SMMD Reporting Standards Attestation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16E6E" w:rsidRPr="00C15F72" w:rsidTr="00D13816">
        <w:tc>
          <w:tcPr>
            <w:tcW w:w="3227" w:type="dxa"/>
          </w:tcPr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Name of Reporting Institution</w:t>
            </w:r>
          </w:p>
        </w:tc>
        <w:tc>
          <w:tcPr>
            <w:tcW w:w="6015" w:type="dxa"/>
          </w:tcPr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316E6E" w:rsidRPr="00C15F72" w:rsidTr="00D13816">
        <w:tc>
          <w:tcPr>
            <w:tcW w:w="3227" w:type="dxa"/>
          </w:tcPr>
          <w:p w:rsidR="00316E6E" w:rsidRPr="00C15F72" w:rsidRDefault="00316E6E" w:rsidP="00D13816">
            <w:pPr>
              <w:spacing w:before="24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SMMD sector(s) reported</w:t>
            </w:r>
          </w:p>
        </w:tc>
        <w:tc>
          <w:tcPr>
            <w:tcW w:w="6015" w:type="dxa"/>
          </w:tcPr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Unsecured only / Secured only / Both</w:t>
            </w:r>
          </w:p>
        </w:tc>
      </w:tr>
    </w:tbl>
    <w:p w:rsidR="00316E6E" w:rsidRPr="00C15F72" w:rsidRDefault="00316E6E" w:rsidP="00316E6E">
      <w:pPr>
        <w:rPr>
          <w:rFonts w:ascii="Arial" w:hAnsi="Arial" w:cs="Arial"/>
        </w:rPr>
      </w:pPr>
    </w:p>
    <w:p w:rsidR="00B305BE" w:rsidRDefault="00B305BE" w:rsidP="00C71CD6">
      <w:p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 w:rsidR="00FB7E7B">
        <w:rPr>
          <w:rFonts w:ascii="Arial" w:hAnsi="Arial" w:cs="Arial"/>
          <w:color w:val="000000"/>
        </w:rPr>
        <w:t xml:space="preserve">Reporting Standards Attestation process </w:t>
      </w:r>
      <w:r>
        <w:rPr>
          <w:rFonts w:ascii="Arial" w:hAnsi="Arial" w:cs="Arial"/>
          <w:color w:val="000000"/>
        </w:rPr>
        <w:t xml:space="preserve">serves to confirm a </w:t>
      </w:r>
      <w:r w:rsidR="00AB37C5">
        <w:rPr>
          <w:rFonts w:ascii="Arial" w:hAnsi="Arial" w:cs="Arial"/>
          <w:color w:val="000000"/>
        </w:rPr>
        <w:t xml:space="preserve">Reporting Institution’s </w:t>
      </w:r>
      <w:r>
        <w:rPr>
          <w:rFonts w:ascii="Arial" w:hAnsi="Arial" w:cs="Arial"/>
          <w:color w:val="000000"/>
        </w:rPr>
        <w:t xml:space="preserve">adherence to the SMMD Reporting Instructions, and provides record of any particular areas where the </w:t>
      </w:r>
      <w:r w:rsidR="00AB37C5">
        <w:rPr>
          <w:rFonts w:ascii="Arial" w:hAnsi="Arial" w:cs="Arial"/>
          <w:color w:val="000000"/>
        </w:rPr>
        <w:t xml:space="preserve">Reporter </w:t>
      </w:r>
      <w:r>
        <w:rPr>
          <w:rFonts w:ascii="Arial" w:hAnsi="Arial" w:cs="Arial"/>
          <w:color w:val="000000"/>
        </w:rPr>
        <w:t>has previously agreed with the Bank that its reporting will deviate from the standard requirements.</w:t>
      </w:r>
    </w:p>
    <w:p w:rsidR="00C71CD6" w:rsidRPr="00C15F72" w:rsidRDefault="00316E6E" w:rsidP="00C71CD6">
      <w:pPr>
        <w:spacing w:line="360" w:lineRule="auto"/>
        <w:rPr>
          <w:rFonts w:ascii="Arial" w:hAnsi="Arial" w:cs="Arial"/>
          <w:i/>
          <w:color w:val="000000"/>
        </w:rPr>
      </w:pPr>
      <w:r w:rsidRPr="00C15F72">
        <w:rPr>
          <w:rFonts w:ascii="Arial" w:hAnsi="Arial" w:cs="Arial"/>
          <w:i/>
        </w:rPr>
        <w:t xml:space="preserve">Where there are </w:t>
      </w:r>
      <w:r w:rsidRPr="00C15F72">
        <w:rPr>
          <w:rFonts w:ascii="Arial" w:hAnsi="Arial" w:cs="Arial"/>
          <w:i/>
          <w:color w:val="000000"/>
        </w:rPr>
        <w:t xml:space="preserve">particular areas where Reporting Institution has previously agreed with the Bank that reporting will deviate from the standard requirements, these are stated below. </w:t>
      </w:r>
    </w:p>
    <w:p w:rsidR="00316E6E" w:rsidRPr="00C15F72" w:rsidRDefault="00316E6E" w:rsidP="00316E6E">
      <w:pPr>
        <w:pStyle w:val="Default"/>
        <w:spacing w:after="240" w:line="360" w:lineRule="auto"/>
        <w:rPr>
          <w:i/>
          <w:sz w:val="22"/>
          <w:szCs w:val="22"/>
        </w:rPr>
      </w:pPr>
      <w:r w:rsidRPr="00C15F72">
        <w:rPr>
          <w:i/>
          <w:sz w:val="22"/>
          <w:szCs w:val="22"/>
        </w:rPr>
        <w:t xml:space="preserve">This is a live document. </w:t>
      </w:r>
      <w:r w:rsidR="008E0D83">
        <w:rPr>
          <w:i/>
          <w:sz w:val="22"/>
          <w:szCs w:val="22"/>
        </w:rPr>
        <w:t xml:space="preserve">If a Reporting Institution becomes aware of any deviations from the agreed requirements, they should notify the Bank as soon as practicable.  </w:t>
      </w:r>
      <w:r w:rsidRPr="00C15F72">
        <w:rPr>
          <w:i/>
          <w:sz w:val="22"/>
          <w:szCs w:val="22"/>
        </w:rPr>
        <w:t xml:space="preserve">Any changes to the reporting standards </w:t>
      </w:r>
      <w:r w:rsidR="008E0D83">
        <w:rPr>
          <w:i/>
          <w:sz w:val="22"/>
          <w:szCs w:val="22"/>
        </w:rPr>
        <w:t xml:space="preserve">or remediation plans </w:t>
      </w:r>
      <w:r w:rsidRPr="00C15F72">
        <w:rPr>
          <w:i/>
          <w:sz w:val="22"/>
          <w:szCs w:val="22"/>
        </w:rPr>
        <w:t xml:space="preserve">agreed bilaterally between the Bank and the Reporting Institution should be reflected within a new version. Absent such changes, the document will be reviewed on at least an annual basis, in </w:t>
      </w:r>
      <w:r w:rsidR="00C71CD6">
        <w:rPr>
          <w:i/>
          <w:sz w:val="22"/>
          <w:szCs w:val="22"/>
        </w:rPr>
        <w:t>June</w:t>
      </w:r>
      <w:r w:rsidRPr="00C15F72">
        <w:rPr>
          <w:i/>
          <w:sz w:val="22"/>
          <w:szCs w:val="22"/>
        </w:rPr>
        <w:t>, confirming continued adherence to reporting instructions and providing relevant evidence to the Bank to re-confirm any previously granted exemptions.</w:t>
      </w:r>
    </w:p>
    <w:p w:rsidR="000D37A6" w:rsidRPr="00C15F72" w:rsidRDefault="000D37A6">
      <w:pPr>
        <w:rPr>
          <w:rFonts w:ascii="Arial" w:hAnsi="Arial" w:cs="Arial"/>
        </w:rPr>
      </w:pPr>
    </w:p>
    <w:p w:rsidR="00316E6E" w:rsidRPr="00C15F72" w:rsidRDefault="00316E6E">
      <w:pPr>
        <w:rPr>
          <w:rFonts w:ascii="Arial" w:hAnsi="Arial" w:cs="Arial"/>
        </w:rPr>
      </w:pPr>
    </w:p>
    <w:p w:rsidR="008E0D83" w:rsidRDefault="008E0D83">
      <w:pPr>
        <w:rPr>
          <w:rFonts w:ascii="Arial" w:hAnsi="Arial" w:cs="Arial"/>
          <w:color w:val="000000"/>
          <w:u w:val="single"/>
        </w:rPr>
      </w:pPr>
      <w:r>
        <w:rPr>
          <w:u w:val="single"/>
        </w:rPr>
        <w:br w:type="page"/>
      </w:r>
    </w:p>
    <w:p w:rsidR="00316E6E" w:rsidRPr="00C15F72" w:rsidRDefault="00316E6E" w:rsidP="00316E6E">
      <w:pPr>
        <w:pStyle w:val="Default"/>
        <w:spacing w:after="240" w:line="360" w:lineRule="auto"/>
        <w:rPr>
          <w:sz w:val="22"/>
          <w:szCs w:val="22"/>
          <w:u w:val="single"/>
        </w:rPr>
      </w:pPr>
      <w:r w:rsidRPr="00C15F72">
        <w:rPr>
          <w:sz w:val="22"/>
          <w:szCs w:val="22"/>
          <w:u w:val="single"/>
        </w:rPr>
        <w:lastRenderedPageBreak/>
        <w:t>Statements</w:t>
      </w:r>
    </w:p>
    <w:p w:rsidR="00B305BE" w:rsidRDefault="00060951" w:rsidP="00316E6E">
      <w:pPr>
        <w:pStyle w:val="Singline"/>
        <w:numPr>
          <w:ilvl w:val="0"/>
          <w:numId w:val="1"/>
        </w:numPr>
        <w:spacing w:before="240" w:after="0" w:line="312" w:lineRule="auto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By completing this </w:t>
      </w:r>
      <w:r w:rsidR="00B305BE" w:rsidRPr="00B305BE">
        <w:rPr>
          <w:rFonts w:ascii="Arial" w:hAnsi="Arial" w:cs="Arial"/>
          <w:color w:val="000000" w:themeColor="text1"/>
          <w:sz w:val="22"/>
          <w:szCs w:val="22"/>
        </w:rPr>
        <w:t xml:space="preserve">attestation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we confirm </w:t>
      </w:r>
      <w:r w:rsidR="00B305BE" w:rsidRPr="00B305BE">
        <w:rPr>
          <w:rFonts w:ascii="Arial" w:hAnsi="Arial" w:cs="Arial"/>
          <w:color w:val="000000" w:themeColor="text1"/>
          <w:sz w:val="22"/>
          <w:szCs w:val="22"/>
        </w:rPr>
        <w:t xml:space="preserve">appropriate assurance has been undertaken and processes </w:t>
      </w:r>
      <w:r w:rsidR="00B305BE">
        <w:rPr>
          <w:rFonts w:ascii="Arial" w:hAnsi="Arial" w:cs="Arial"/>
          <w:color w:val="000000" w:themeColor="text1"/>
          <w:sz w:val="22"/>
          <w:szCs w:val="22"/>
        </w:rPr>
        <w:t xml:space="preserve">are in place </w:t>
      </w:r>
      <w:r w:rsidR="00B305BE" w:rsidRPr="00B305BE">
        <w:rPr>
          <w:rFonts w:ascii="Arial" w:hAnsi="Arial" w:cs="Arial"/>
          <w:color w:val="000000" w:themeColor="text1"/>
          <w:sz w:val="22"/>
          <w:szCs w:val="22"/>
        </w:rPr>
        <w:t>to ensure that all eligible transactions are captured in the reporting to the Bank on an ongoing basis</w:t>
      </w:r>
      <w:r w:rsidR="00B305B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305BE" w:rsidRPr="00B305BE" w:rsidRDefault="00B305BE" w:rsidP="00B305BE">
      <w:pPr>
        <w:pStyle w:val="Singline"/>
        <w:spacing w:before="240" w:after="0" w:line="312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316E6E" w:rsidRPr="00C15F72" w:rsidRDefault="00316E6E" w:rsidP="00316E6E">
      <w:pPr>
        <w:pStyle w:val="Singline"/>
        <w:numPr>
          <w:ilvl w:val="0"/>
          <w:numId w:val="1"/>
        </w:numPr>
        <w:spacing w:before="24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C15F72">
        <w:rPr>
          <w:rFonts w:ascii="Arial" w:hAnsi="Arial" w:cs="Arial"/>
          <w:sz w:val="22"/>
          <w:szCs w:val="22"/>
        </w:rPr>
        <w:t xml:space="preserve">In the space below, please state any previously agreed exemptions from the Form SMMD minimum reporting requirements. If there are no exemptions, please state “None”. </w:t>
      </w:r>
    </w:p>
    <w:p w:rsidR="00316E6E" w:rsidRPr="00C15F72" w:rsidRDefault="00316E6E" w:rsidP="00316E6E">
      <w:pPr>
        <w:pStyle w:val="Singline"/>
        <w:spacing w:line="312" w:lineRule="auto"/>
        <w:ind w:left="34"/>
        <w:rPr>
          <w:rFonts w:ascii="Arial" w:hAnsi="Arial" w:cs="Arial"/>
          <w:i/>
          <w:sz w:val="20"/>
        </w:rPr>
      </w:pPr>
      <w:r w:rsidRPr="00C15F72">
        <w:rPr>
          <w:rFonts w:ascii="Arial" w:hAnsi="Arial" w:cs="Arial"/>
          <w:i/>
          <w:sz w:val="20"/>
        </w:rPr>
        <w:t>[Examples include: whether any EEA branches of the legal entities have been exempted from reporting following proof of negligible activity; whether it has been agreed that due to secrecy laws in a particular jurisdiction, some counterparties will only be identified by their location and sector, rather than by name or LEI.]</w:t>
      </w:r>
    </w:p>
    <w:p w:rsidR="00316E6E" w:rsidRDefault="00316E6E" w:rsidP="00316E6E">
      <w:pPr>
        <w:pStyle w:val="Singline"/>
        <w:spacing w:before="240" w:after="0" w:line="312" w:lineRule="auto"/>
        <w:ind w:left="34"/>
        <w:rPr>
          <w:rFonts w:ascii="Arial" w:hAnsi="Arial" w:cs="Arial"/>
          <w:sz w:val="22"/>
          <w:szCs w:val="22"/>
        </w:rPr>
      </w:pPr>
    </w:p>
    <w:p w:rsidR="00C15F72" w:rsidRPr="00C15F72" w:rsidRDefault="00C15F72" w:rsidP="00316E6E">
      <w:pPr>
        <w:pStyle w:val="Singline"/>
        <w:spacing w:before="240" w:after="0" w:line="312" w:lineRule="auto"/>
        <w:ind w:left="34"/>
        <w:rPr>
          <w:rFonts w:ascii="Arial" w:hAnsi="Arial" w:cs="Arial"/>
          <w:sz w:val="22"/>
          <w:szCs w:val="22"/>
        </w:rPr>
      </w:pPr>
    </w:p>
    <w:p w:rsidR="00316E6E" w:rsidRPr="00C15F72" w:rsidRDefault="00316E6E" w:rsidP="00316E6E">
      <w:pPr>
        <w:pStyle w:val="Singline"/>
        <w:numPr>
          <w:ilvl w:val="0"/>
          <w:numId w:val="1"/>
        </w:numPr>
        <w:spacing w:before="240" w:after="0" w:line="312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C15F72">
        <w:rPr>
          <w:rFonts w:ascii="Arial" w:hAnsi="Arial" w:cs="Arial"/>
          <w:sz w:val="22"/>
          <w:szCs w:val="22"/>
        </w:rPr>
        <w:t>In the space below, please state any over-reporting above the minimum reporting requirements. If there is no over-reporting, please state “None”.</w:t>
      </w:r>
    </w:p>
    <w:p w:rsidR="00316E6E" w:rsidRPr="00C15F72" w:rsidRDefault="00316E6E" w:rsidP="00316E6E">
      <w:pPr>
        <w:pStyle w:val="Singline"/>
        <w:spacing w:line="312" w:lineRule="auto"/>
        <w:rPr>
          <w:rFonts w:ascii="Arial" w:hAnsi="Arial" w:cs="Arial"/>
          <w:i/>
          <w:sz w:val="20"/>
        </w:rPr>
      </w:pPr>
      <w:r w:rsidRPr="00C15F72">
        <w:rPr>
          <w:rFonts w:ascii="Arial" w:hAnsi="Arial" w:cs="Arial"/>
          <w:i/>
          <w:sz w:val="20"/>
        </w:rPr>
        <w:t>[Examples include: reporting of transactions from non-EEA branches; reporting transactions secured against other sterling-denominated fixed income securities not eligible to be included in the UBG stock DBV class (secured reporting only).]</w:t>
      </w:r>
    </w:p>
    <w:p w:rsidR="00316E6E" w:rsidRDefault="00316E6E" w:rsidP="00316E6E">
      <w:pPr>
        <w:pStyle w:val="Singline"/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305BE" w:rsidRDefault="00B305BE" w:rsidP="00316E6E">
      <w:pPr>
        <w:pStyle w:val="Singline"/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C15F72" w:rsidRPr="00C15F72" w:rsidRDefault="00C15F72" w:rsidP="00316E6E">
      <w:pPr>
        <w:pStyle w:val="Singline"/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16E6E" w:rsidRPr="00C15F72" w:rsidRDefault="00316E6E" w:rsidP="00316E6E">
      <w:pPr>
        <w:pStyle w:val="Singline"/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16E6E" w:rsidRPr="00C15F72" w:rsidRDefault="00316E6E" w:rsidP="00316E6E">
      <w:pPr>
        <w:pStyle w:val="Singline"/>
        <w:numPr>
          <w:ilvl w:val="0"/>
          <w:numId w:val="1"/>
        </w:numPr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C15F72">
        <w:rPr>
          <w:rFonts w:ascii="Arial" w:hAnsi="Arial" w:cs="Arial"/>
          <w:sz w:val="22"/>
          <w:szCs w:val="22"/>
        </w:rPr>
        <w:t xml:space="preserve">In the space below, please state any other deviations from the standard reporting requirements, previously agreed with the Bank. If there are no other deviations, please state “None”. </w:t>
      </w:r>
    </w:p>
    <w:p w:rsidR="00316E6E" w:rsidRDefault="00316E6E" w:rsidP="00316E6E">
      <w:pPr>
        <w:pStyle w:val="Singline"/>
        <w:spacing w:after="0" w:line="312" w:lineRule="auto"/>
        <w:rPr>
          <w:rFonts w:ascii="Arial" w:hAnsi="Arial" w:cs="Arial"/>
          <w:sz w:val="22"/>
          <w:szCs w:val="22"/>
        </w:rPr>
      </w:pPr>
    </w:p>
    <w:p w:rsidR="00B305BE" w:rsidRDefault="00B305BE" w:rsidP="00316E6E">
      <w:pPr>
        <w:pStyle w:val="Singline"/>
        <w:spacing w:after="0" w:line="312" w:lineRule="auto"/>
        <w:rPr>
          <w:rFonts w:ascii="Arial" w:hAnsi="Arial" w:cs="Arial"/>
          <w:sz w:val="22"/>
          <w:szCs w:val="22"/>
        </w:rPr>
      </w:pPr>
    </w:p>
    <w:p w:rsidR="00B305BE" w:rsidRDefault="00B305BE" w:rsidP="00316E6E">
      <w:pPr>
        <w:pStyle w:val="Singline"/>
        <w:spacing w:after="0" w:line="312" w:lineRule="auto"/>
        <w:rPr>
          <w:rFonts w:ascii="Arial" w:hAnsi="Arial" w:cs="Arial"/>
          <w:sz w:val="22"/>
          <w:szCs w:val="22"/>
        </w:rPr>
      </w:pPr>
    </w:p>
    <w:p w:rsidR="00B305BE" w:rsidRDefault="00B305BE" w:rsidP="00316E6E">
      <w:pPr>
        <w:pStyle w:val="Singline"/>
        <w:spacing w:after="0" w:line="312" w:lineRule="auto"/>
        <w:rPr>
          <w:rFonts w:ascii="Arial" w:hAnsi="Arial" w:cs="Arial"/>
          <w:sz w:val="22"/>
          <w:szCs w:val="22"/>
        </w:rPr>
      </w:pPr>
    </w:p>
    <w:p w:rsidR="00316E6E" w:rsidRPr="00C15F72" w:rsidRDefault="00316E6E" w:rsidP="00316E6E">
      <w:pPr>
        <w:pStyle w:val="Singline"/>
        <w:spacing w:after="0" w:line="312" w:lineRule="auto"/>
        <w:rPr>
          <w:rFonts w:ascii="Arial" w:hAnsi="Arial" w:cs="Arial"/>
          <w:sz w:val="22"/>
          <w:szCs w:val="22"/>
        </w:rPr>
      </w:pPr>
    </w:p>
    <w:p w:rsidR="00316E6E" w:rsidRPr="00C15F72" w:rsidRDefault="00316E6E" w:rsidP="00C15F72">
      <w:pPr>
        <w:pStyle w:val="Singline"/>
        <w:numPr>
          <w:ilvl w:val="0"/>
          <w:numId w:val="1"/>
        </w:numPr>
        <w:spacing w:after="0" w:line="312" w:lineRule="auto"/>
        <w:ind w:left="0" w:firstLine="0"/>
        <w:rPr>
          <w:rFonts w:ascii="Arial" w:hAnsi="Arial" w:cs="Arial"/>
        </w:rPr>
      </w:pPr>
      <w:r w:rsidRPr="00C15F72">
        <w:rPr>
          <w:rFonts w:ascii="Arial" w:hAnsi="Arial" w:cs="Arial"/>
          <w:sz w:val="22"/>
          <w:szCs w:val="22"/>
        </w:rPr>
        <w:t xml:space="preserve">Confirm authorisation of employees to make protected whistleblowing disclosures relating to Form SMMD to the Bank, by stating “Confirmed” in the space below. </w:t>
      </w:r>
    </w:p>
    <w:p w:rsidR="00C15F72" w:rsidRPr="00C15F72" w:rsidRDefault="00C15F72" w:rsidP="00C15F72">
      <w:pPr>
        <w:pStyle w:val="Singline"/>
        <w:spacing w:after="0" w:line="312" w:lineRule="auto"/>
        <w:rPr>
          <w:rFonts w:ascii="Arial" w:hAnsi="Arial" w:cs="Arial"/>
        </w:rPr>
      </w:pPr>
    </w:p>
    <w:p w:rsidR="00B305BE" w:rsidRDefault="00B305B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16E6E" w:rsidRPr="00C15F72" w:rsidTr="00D13816">
        <w:tc>
          <w:tcPr>
            <w:tcW w:w="3227" w:type="dxa"/>
          </w:tcPr>
          <w:p w:rsidR="00316E6E" w:rsidRPr="00C15F72" w:rsidRDefault="00316E6E" w:rsidP="00D13816">
            <w:pPr>
              <w:spacing w:before="240"/>
              <w:rPr>
                <w:rFonts w:ascii="Arial" w:hAnsi="Arial" w:cs="Arial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Reporter Signatory </w:t>
            </w:r>
          </w:p>
        </w:tc>
        <w:tc>
          <w:tcPr>
            <w:tcW w:w="6015" w:type="dxa"/>
          </w:tcPr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Name: 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lang w:eastAsia="en-US"/>
              </w:rPr>
            </w:pPr>
            <w:r w:rsidRPr="00C15F72">
              <w:rPr>
                <w:rFonts w:ascii="Arial" w:eastAsiaTheme="minorHAnsi" w:hAnsi="Arial" w:cs="Arial"/>
                <w:lang w:eastAsia="en-US"/>
              </w:rPr>
              <w:t>Job Title: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lang w:eastAsia="en-US"/>
              </w:rPr>
            </w:pPr>
            <w:r w:rsidRPr="00C15F72">
              <w:rPr>
                <w:rFonts w:ascii="Arial" w:eastAsiaTheme="minorHAnsi" w:hAnsi="Arial" w:cs="Arial"/>
                <w:lang w:eastAsia="en-US"/>
              </w:rPr>
              <w:t xml:space="preserve">Senior Management Function: 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Email: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Telephone:</w:t>
            </w:r>
          </w:p>
          <w:p w:rsidR="00316E6E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Address: </w:t>
            </w:r>
          </w:p>
          <w:p w:rsidR="00C15F72" w:rsidRPr="00C15F72" w:rsidRDefault="00C15F72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Signature: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Date:</w:t>
            </w:r>
          </w:p>
        </w:tc>
      </w:tr>
      <w:tr w:rsidR="00316E6E" w:rsidRPr="00C15F72" w:rsidTr="00D13816">
        <w:tc>
          <w:tcPr>
            <w:tcW w:w="3227" w:type="dxa"/>
          </w:tcPr>
          <w:p w:rsidR="00316E6E" w:rsidRPr="00C15F72" w:rsidRDefault="00316E6E" w:rsidP="00D13816">
            <w:pPr>
              <w:spacing w:before="240"/>
              <w:rPr>
                <w:rFonts w:ascii="Arial" w:hAnsi="Arial" w:cs="Arial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Reporter Signatory </w:t>
            </w:r>
          </w:p>
        </w:tc>
        <w:tc>
          <w:tcPr>
            <w:tcW w:w="6015" w:type="dxa"/>
          </w:tcPr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Name: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lang w:eastAsia="en-US"/>
              </w:rPr>
            </w:pPr>
            <w:r w:rsidRPr="00C15F72">
              <w:rPr>
                <w:rFonts w:ascii="Arial" w:eastAsiaTheme="minorHAnsi" w:hAnsi="Arial" w:cs="Arial"/>
                <w:lang w:eastAsia="en-US"/>
              </w:rPr>
              <w:t>Job Title: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lang w:eastAsia="en-US"/>
              </w:rPr>
            </w:pPr>
            <w:r w:rsidRPr="00C15F72">
              <w:rPr>
                <w:rFonts w:ascii="Arial" w:eastAsiaTheme="minorHAnsi" w:hAnsi="Arial" w:cs="Arial"/>
                <w:lang w:eastAsia="en-US"/>
              </w:rPr>
              <w:t xml:space="preserve">Senior Management Function: 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Email: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Telephone:</w:t>
            </w:r>
          </w:p>
          <w:p w:rsidR="00316E6E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Address:</w:t>
            </w:r>
            <w:r w:rsid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</w:p>
          <w:p w:rsidR="00C15F72" w:rsidRPr="00C15F72" w:rsidRDefault="00C15F72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Signature: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Date:</w:t>
            </w:r>
          </w:p>
        </w:tc>
      </w:tr>
      <w:tr w:rsidR="00316E6E" w:rsidRPr="00C15F72" w:rsidTr="00D13816">
        <w:tc>
          <w:tcPr>
            <w:tcW w:w="3227" w:type="dxa"/>
          </w:tcPr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Bank of England Signatory</w:t>
            </w:r>
          </w:p>
        </w:tc>
        <w:tc>
          <w:tcPr>
            <w:tcW w:w="6015" w:type="dxa"/>
          </w:tcPr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Name: 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Email: 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Telephone: </w:t>
            </w:r>
          </w:p>
          <w:p w:rsidR="00316E6E" w:rsidRPr="00C15F72" w:rsidRDefault="00316E6E" w:rsidP="00D13816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Address: Bank of England, </w:t>
            </w:r>
          </w:p>
          <w:p w:rsidR="00316E6E" w:rsidRPr="00C15F72" w:rsidRDefault="00316E6E" w:rsidP="00D13816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Threadneedle St, </w:t>
            </w:r>
          </w:p>
          <w:p w:rsidR="00316E6E" w:rsidRPr="00C15F72" w:rsidRDefault="00316E6E" w:rsidP="00D13816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London, </w:t>
            </w:r>
          </w:p>
          <w:p w:rsidR="00316E6E" w:rsidRPr="00C15F72" w:rsidRDefault="00316E6E" w:rsidP="00D13816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EC2R8AH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>Signature:</w:t>
            </w:r>
          </w:p>
          <w:p w:rsidR="00316E6E" w:rsidRPr="00C15F72" w:rsidRDefault="00316E6E" w:rsidP="00D13816">
            <w:pPr>
              <w:spacing w:before="240" w:after="20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C15F72">
              <w:rPr>
                <w:rFonts w:ascii="Arial" w:eastAsiaTheme="minorHAnsi" w:hAnsi="Arial" w:cs="Arial"/>
                <w:color w:val="000000"/>
                <w:lang w:eastAsia="en-US"/>
              </w:rPr>
              <w:t xml:space="preserve">Date: </w:t>
            </w:r>
          </w:p>
        </w:tc>
      </w:tr>
    </w:tbl>
    <w:p w:rsidR="00316E6E" w:rsidRPr="00C15F72" w:rsidRDefault="00316E6E">
      <w:pPr>
        <w:rPr>
          <w:rFonts w:ascii="Arial" w:hAnsi="Arial" w:cs="Arial"/>
        </w:rPr>
      </w:pPr>
      <w:r w:rsidRPr="00C15F7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79915" wp14:editId="5DF89CDC">
                <wp:simplePos x="0" y="0"/>
                <wp:positionH relativeFrom="column">
                  <wp:posOffset>4014470</wp:posOffset>
                </wp:positionH>
                <wp:positionV relativeFrom="paragraph">
                  <wp:posOffset>1017270</wp:posOffset>
                </wp:positionV>
                <wp:extent cx="2374265" cy="140398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E6E" w:rsidRDefault="00316E6E" w:rsidP="00316E6E">
                            <w:pPr>
                              <w:jc w:val="right"/>
                            </w:pPr>
                            <w:r>
                              <w:t>Page 3 of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6.1pt;margin-top:80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" stroked="f">
                <v:textbox style="mso-fit-shape-to-text:t">
                  <w:txbxContent>
                    <w:p w:rsidR="00316E6E" w:rsidRDefault="00316E6E" w:rsidP="00316E6E">
                      <w:pPr>
                        <w:jc w:val="right"/>
                      </w:pPr>
                      <w:r>
                        <w:t>Page 3 of 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E6E" w:rsidRPr="00C15F7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05" w:rsidRDefault="00A71705" w:rsidP="00316E6E">
      <w:pPr>
        <w:spacing w:after="0" w:line="240" w:lineRule="auto"/>
      </w:pPr>
      <w:r>
        <w:separator/>
      </w:r>
    </w:p>
  </w:endnote>
  <w:endnote w:type="continuationSeparator" w:id="0">
    <w:p w:rsidR="00A71705" w:rsidRDefault="00A71705" w:rsidP="0031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D83" w:rsidRDefault="008E0D8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372F0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05" w:rsidRDefault="00A71705" w:rsidP="00316E6E">
      <w:pPr>
        <w:spacing w:after="0" w:line="240" w:lineRule="auto"/>
      </w:pPr>
      <w:r>
        <w:separator/>
      </w:r>
    </w:p>
  </w:footnote>
  <w:footnote w:type="continuationSeparator" w:id="0">
    <w:p w:rsidR="00A71705" w:rsidRDefault="00A71705" w:rsidP="0031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4FFD"/>
    <w:multiLevelType w:val="hybridMultilevel"/>
    <w:tmpl w:val="1C42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6E"/>
    <w:rsid w:val="00060951"/>
    <w:rsid w:val="000D37A6"/>
    <w:rsid w:val="001D704C"/>
    <w:rsid w:val="00316E6E"/>
    <w:rsid w:val="005E5EE7"/>
    <w:rsid w:val="005F1023"/>
    <w:rsid w:val="006372F0"/>
    <w:rsid w:val="0075230B"/>
    <w:rsid w:val="008E0D83"/>
    <w:rsid w:val="00902369"/>
    <w:rsid w:val="00A71705"/>
    <w:rsid w:val="00AB37C5"/>
    <w:rsid w:val="00B305BE"/>
    <w:rsid w:val="00C15F72"/>
    <w:rsid w:val="00C71CD6"/>
    <w:rsid w:val="00C96E4E"/>
    <w:rsid w:val="00D857DD"/>
    <w:rsid w:val="00FB7E7B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E6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E6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6E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E6E"/>
    <w:rPr>
      <w:color w:val="0000FF" w:themeColor="hyperlink"/>
      <w:u w:val="single"/>
    </w:rPr>
  </w:style>
  <w:style w:type="paragraph" w:customStyle="1" w:styleId="Singline">
    <w:name w:val="Singline"/>
    <w:basedOn w:val="Normal"/>
    <w:rsid w:val="00316E6E"/>
    <w:pPr>
      <w:spacing w:after="28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72"/>
  </w:style>
  <w:style w:type="paragraph" w:styleId="Footer">
    <w:name w:val="footer"/>
    <w:basedOn w:val="Normal"/>
    <w:link w:val="FooterChar"/>
    <w:uiPriority w:val="99"/>
    <w:unhideWhenUsed/>
    <w:rsid w:val="00C1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72"/>
  </w:style>
  <w:style w:type="character" w:styleId="FollowedHyperlink">
    <w:name w:val="FollowedHyperlink"/>
    <w:basedOn w:val="DefaultParagraphFont"/>
    <w:uiPriority w:val="99"/>
    <w:semiHidden/>
    <w:unhideWhenUsed/>
    <w:rsid w:val="00C15F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E6E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6E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E6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6E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E6E"/>
    <w:rPr>
      <w:color w:val="0000FF" w:themeColor="hyperlink"/>
      <w:u w:val="single"/>
    </w:rPr>
  </w:style>
  <w:style w:type="paragraph" w:customStyle="1" w:styleId="Singline">
    <w:name w:val="Singline"/>
    <w:basedOn w:val="Normal"/>
    <w:rsid w:val="00316E6E"/>
    <w:pPr>
      <w:spacing w:after="28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72"/>
  </w:style>
  <w:style w:type="paragraph" w:styleId="Footer">
    <w:name w:val="footer"/>
    <w:basedOn w:val="Normal"/>
    <w:link w:val="FooterChar"/>
    <w:uiPriority w:val="99"/>
    <w:unhideWhenUsed/>
    <w:rsid w:val="00C1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72"/>
  </w:style>
  <w:style w:type="character" w:styleId="FollowedHyperlink">
    <w:name w:val="FollowedHyperlink"/>
    <w:basedOn w:val="DefaultParagraphFont"/>
    <w:uiPriority w:val="99"/>
    <w:semiHidden/>
    <w:unhideWhenUsed/>
    <w:rsid w:val="00C15F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82AB-3D74-43CE-A95F-67DEFAA2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Courtney, Amy</dc:creator>
  <cp:lastModifiedBy>Courtney, Amy</cp:lastModifiedBy>
  <cp:revision>2</cp:revision>
  <dcterms:created xsi:type="dcterms:W3CDTF">2019-03-01T09:06:00Z</dcterms:created>
  <dcterms:modified xsi:type="dcterms:W3CDTF">2019-03-01T09:06:00Z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Analytical 7718032</vt:lpwstr>
  </property>
  <property fmtid="{D5CDD505-2E9C-101B-9397-08002B2CF9AE}" pid="3" name="DocVer">
    <vt:lpwstr>Analytical 7718032v1</vt:lpwstr>
  </property>
</Properties>
</file>