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6D4F4" w14:textId="77777777" w:rsidR="0013097D" w:rsidRDefault="00FF7EAE">
      <w:pPr>
        <w:spacing w:after="0"/>
      </w:pPr>
      <w:r>
        <w:rPr>
          <w:rFonts w:ascii="Century Gothic" w:eastAsia="Century Gothic" w:hAnsi="Century Gothic" w:cs="Century Gothic"/>
          <w:b/>
          <w:color w:val="9194A1"/>
          <w:sz w:val="40"/>
        </w:rPr>
        <w:t xml:space="preserve">Prudential Regulation Authority </w:t>
      </w:r>
    </w:p>
    <w:p w14:paraId="3AB47B2E" w14:textId="77777777" w:rsidR="0013097D" w:rsidRDefault="00FF7EAE">
      <w:pPr>
        <w:spacing w:after="169"/>
        <w:ind w:left="29"/>
      </w:pPr>
      <w:r>
        <w:rPr>
          <w:rFonts w:ascii="Arial" w:eastAsia="Arial" w:hAnsi="Arial" w:cs="Arial"/>
          <w:sz w:val="2"/>
        </w:rPr>
        <w:t xml:space="preserve">  </w:t>
      </w:r>
    </w:p>
    <w:p w14:paraId="38E67079" w14:textId="77777777" w:rsidR="0013097D" w:rsidRDefault="00FF7EAE">
      <w:pPr>
        <w:spacing w:after="107"/>
        <w:ind w:left="29"/>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r>
      <w:r>
        <w:rPr>
          <w:rFonts w:ascii="Arial" w:eastAsia="Arial" w:hAnsi="Arial" w:cs="Arial"/>
          <w:b/>
          <w:sz w:val="20"/>
        </w:rPr>
        <w:t xml:space="preserve"> </w:t>
      </w:r>
    </w:p>
    <w:p w14:paraId="7B75A6D9" w14:textId="77777777" w:rsidR="0013097D" w:rsidRDefault="00FF7EAE">
      <w:pPr>
        <w:spacing w:after="21"/>
        <w:ind w:left="29"/>
      </w:pPr>
      <w:r>
        <w:rPr>
          <w:rFonts w:ascii="Arial" w:eastAsia="Arial" w:hAnsi="Arial" w:cs="Arial"/>
          <w:sz w:val="20"/>
        </w:rPr>
        <w:t xml:space="preserve"> </w:t>
      </w:r>
    </w:p>
    <w:p w14:paraId="6B8ECB50" w14:textId="77777777" w:rsidR="0013097D" w:rsidRDefault="00FF7EAE">
      <w:pPr>
        <w:spacing w:after="139"/>
        <w:ind w:left="29"/>
      </w:pPr>
      <w:r>
        <w:rPr>
          <w:rFonts w:ascii="Arial" w:eastAsia="Arial" w:hAnsi="Arial" w:cs="Arial"/>
          <w:sz w:val="12"/>
        </w:rPr>
        <w:t xml:space="preserve"> </w:t>
      </w:r>
    </w:p>
    <w:p w14:paraId="601ABF43" w14:textId="1BD8BB70" w:rsidR="0013097D" w:rsidRDefault="00FF7EAE">
      <w:pPr>
        <w:spacing w:after="0"/>
        <w:ind w:left="29"/>
      </w:pPr>
      <w:r>
        <w:rPr>
          <w:rFonts w:ascii="Arial" w:eastAsia="Arial" w:hAnsi="Arial" w:cs="Arial"/>
          <w:b/>
          <w:sz w:val="28"/>
        </w:rPr>
        <w:t>Supplementary information for applications to</w:t>
      </w:r>
      <w:r w:rsidR="001F21C1">
        <w:rPr>
          <w:rFonts w:ascii="Arial" w:eastAsia="Arial" w:hAnsi="Arial" w:cs="Arial"/>
          <w:b/>
          <w:sz w:val="28"/>
        </w:rPr>
        <w:t xml:space="preserve"> apply for the </w:t>
      </w:r>
      <w:r w:rsidR="000B4322">
        <w:rPr>
          <w:rFonts w:ascii="Arial" w:eastAsia="Arial" w:hAnsi="Arial" w:cs="Arial"/>
          <w:b/>
          <w:sz w:val="28"/>
        </w:rPr>
        <w:t xml:space="preserve">volatility adjustment </w:t>
      </w:r>
      <w:r w:rsidR="001F21C1">
        <w:rPr>
          <w:rFonts w:ascii="Arial" w:eastAsia="Arial" w:hAnsi="Arial" w:cs="Arial"/>
          <w:b/>
          <w:sz w:val="28"/>
        </w:rPr>
        <w:t>(‘</w:t>
      </w:r>
      <w:r w:rsidR="000B4322">
        <w:rPr>
          <w:rFonts w:ascii="Arial" w:eastAsia="Arial" w:hAnsi="Arial" w:cs="Arial"/>
          <w:b/>
          <w:sz w:val="28"/>
        </w:rPr>
        <w:t>VA</w:t>
      </w:r>
      <w:r w:rsidR="001F21C1">
        <w:rPr>
          <w:rFonts w:ascii="Arial" w:eastAsia="Arial" w:hAnsi="Arial" w:cs="Arial"/>
          <w:b/>
          <w:sz w:val="28"/>
        </w:rPr>
        <w:t>’)</w:t>
      </w:r>
    </w:p>
    <w:tbl>
      <w:tblPr>
        <w:tblStyle w:val="TableGrid"/>
        <w:tblW w:w="8664" w:type="dxa"/>
        <w:tblInd w:w="14" w:type="dxa"/>
        <w:tblCellMar>
          <w:top w:w="49" w:type="dxa"/>
          <w:left w:w="108" w:type="dxa"/>
          <w:right w:w="115" w:type="dxa"/>
        </w:tblCellMar>
        <w:tblLook w:val="04A0" w:firstRow="1" w:lastRow="0" w:firstColumn="1" w:lastColumn="0" w:noHBand="0" w:noVBand="1"/>
      </w:tblPr>
      <w:tblGrid>
        <w:gridCol w:w="2850"/>
        <w:gridCol w:w="5814"/>
      </w:tblGrid>
      <w:tr w:rsidR="0013097D" w14:paraId="4506EEAC" w14:textId="77777777">
        <w:trPr>
          <w:trHeight w:val="851"/>
        </w:trPr>
        <w:tc>
          <w:tcPr>
            <w:tcW w:w="2850" w:type="dxa"/>
            <w:vMerge w:val="restart"/>
            <w:tcBorders>
              <w:top w:val="nil"/>
              <w:left w:val="nil"/>
              <w:bottom w:val="single" w:sz="48" w:space="0" w:color="FFFFFF"/>
              <w:right w:val="nil"/>
            </w:tcBorders>
          </w:tcPr>
          <w:p w14:paraId="7D284946" w14:textId="77777777" w:rsidR="0013097D" w:rsidRDefault="00FF7EAE">
            <w:pPr>
              <w:spacing w:after="100"/>
              <w:ind w:left="15"/>
            </w:pPr>
            <w:r>
              <w:rPr>
                <w:rFonts w:ascii="Arial" w:eastAsia="Arial" w:hAnsi="Arial" w:cs="Arial"/>
              </w:rPr>
              <w:t xml:space="preserve"> </w:t>
            </w:r>
          </w:p>
          <w:p w14:paraId="0D8FFDC4" w14:textId="77777777" w:rsidR="0013097D" w:rsidRDefault="00FF7EAE">
            <w:pPr>
              <w:spacing w:after="321"/>
              <w:ind w:left="15"/>
            </w:pPr>
            <w:r>
              <w:rPr>
                <w:rFonts w:ascii="Arial" w:eastAsia="Arial" w:hAnsi="Arial" w:cs="Arial"/>
              </w:rPr>
              <w:t xml:space="preserve">Firm name </w:t>
            </w:r>
          </w:p>
          <w:p w14:paraId="6806FB14" w14:textId="77777777" w:rsidR="0013097D" w:rsidRDefault="00FF7EAE">
            <w:pPr>
              <w:spacing w:after="422"/>
              <w:ind w:left="15"/>
            </w:pPr>
            <w:r>
              <w:rPr>
                <w:rFonts w:ascii="Arial" w:eastAsia="Arial" w:hAnsi="Arial" w:cs="Arial"/>
              </w:rPr>
              <w:t xml:space="preserve">Firm reference number </w:t>
            </w:r>
          </w:p>
          <w:p w14:paraId="6EDB14EA" w14:textId="77777777" w:rsidR="0013097D" w:rsidRDefault="00FF7EAE">
            <w:pPr>
              <w:spacing w:after="319"/>
              <w:ind w:left="15"/>
            </w:pPr>
            <w:r>
              <w:rPr>
                <w:rFonts w:ascii="Arial" w:eastAsia="Arial" w:hAnsi="Arial" w:cs="Arial"/>
              </w:rPr>
              <w:t xml:space="preserve">Date of application </w:t>
            </w:r>
          </w:p>
          <w:p w14:paraId="4AE013AA" w14:textId="77777777" w:rsidR="0013097D" w:rsidRDefault="00FF7EAE">
            <w:pPr>
              <w:ind w:left="15"/>
              <w:rPr>
                <w:rFonts w:ascii="Arial" w:eastAsia="Arial" w:hAnsi="Arial" w:cs="Arial"/>
              </w:rPr>
            </w:pPr>
            <w:r>
              <w:rPr>
                <w:rFonts w:ascii="Arial" w:eastAsia="Arial" w:hAnsi="Arial" w:cs="Arial"/>
              </w:rPr>
              <w:t xml:space="preserve">Address </w:t>
            </w:r>
          </w:p>
          <w:p w14:paraId="0ED6200F" w14:textId="77777777" w:rsidR="00480E5D" w:rsidRDefault="00480E5D" w:rsidP="00480E5D">
            <w:pPr>
              <w:rPr>
                <w:rFonts w:ascii="Arial" w:eastAsia="Arial" w:hAnsi="Arial" w:cs="Arial"/>
              </w:rPr>
            </w:pPr>
          </w:p>
          <w:p w14:paraId="4191938E" w14:textId="77777777" w:rsidR="00480E5D" w:rsidRDefault="00480E5D" w:rsidP="00480E5D">
            <w:pPr>
              <w:rPr>
                <w:rFonts w:ascii="Arial" w:eastAsia="Arial" w:hAnsi="Arial" w:cs="Arial"/>
              </w:rPr>
            </w:pPr>
          </w:p>
          <w:p w14:paraId="65BE4F5D" w14:textId="77777777" w:rsidR="00480E5D" w:rsidRPr="00480E5D" w:rsidRDefault="00480E5D" w:rsidP="00480E5D">
            <w:pPr>
              <w:jc w:val="center"/>
            </w:pPr>
          </w:p>
        </w:tc>
        <w:tc>
          <w:tcPr>
            <w:tcW w:w="5814" w:type="dxa"/>
            <w:tcBorders>
              <w:top w:val="single" w:sz="48" w:space="0" w:color="FFFFFF"/>
              <w:left w:val="nil"/>
              <w:bottom w:val="single" w:sz="48" w:space="0" w:color="FFFFFF"/>
              <w:right w:val="nil"/>
            </w:tcBorders>
            <w:shd w:val="clear" w:color="auto" w:fill="E5E5E5"/>
          </w:tcPr>
          <w:p w14:paraId="50F79473" w14:textId="77777777" w:rsidR="0013097D" w:rsidRDefault="00FF7EAE">
            <w:r>
              <w:rPr>
                <w:rFonts w:ascii="Arial" w:eastAsia="Arial" w:hAnsi="Arial" w:cs="Arial"/>
                <w:b/>
              </w:rPr>
              <w:t xml:space="preserve">      </w:t>
            </w:r>
          </w:p>
        </w:tc>
      </w:tr>
      <w:tr w:rsidR="0013097D" w14:paraId="6D50F4A9" w14:textId="77777777">
        <w:trPr>
          <w:trHeight w:val="697"/>
        </w:trPr>
        <w:tc>
          <w:tcPr>
            <w:tcW w:w="0" w:type="auto"/>
            <w:vMerge/>
            <w:tcBorders>
              <w:top w:val="nil"/>
              <w:left w:val="nil"/>
              <w:bottom w:val="nil"/>
              <w:right w:val="nil"/>
            </w:tcBorders>
          </w:tcPr>
          <w:p w14:paraId="35FF0FBB" w14:textId="77777777" w:rsidR="0013097D" w:rsidRDefault="0013097D"/>
        </w:tc>
        <w:tc>
          <w:tcPr>
            <w:tcW w:w="5814" w:type="dxa"/>
            <w:tcBorders>
              <w:top w:val="single" w:sz="48" w:space="0" w:color="FFFFFF"/>
              <w:left w:val="nil"/>
              <w:bottom w:val="single" w:sz="48" w:space="0" w:color="FFFFFF"/>
              <w:right w:val="nil"/>
            </w:tcBorders>
            <w:shd w:val="clear" w:color="auto" w:fill="E5E5E5"/>
          </w:tcPr>
          <w:p w14:paraId="150B4B35" w14:textId="77777777" w:rsidR="0013097D" w:rsidRDefault="00FF7EAE">
            <w:r>
              <w:rPr>
                <w:rFonts w:ascii="Arial" w:eastAsia="Arial" w:hAnsi="Arial" w:cs="Arial"/>
              </w:rPr>
              <w:t xml:space="preserve">      </w:t>
            </w:r>
          </w:p>
        </w:tc>
      </w:tr>
      <w:tr w:rsidR="0013097D" w14:paraId="0B2B9415" w14:textId="77777777">
        <w:trPr>
          <w:trHeight w:val="696"/>
        </w:trPr>
        <w:tc>
          <w:tcPr>
            <w:tcW w:w="0" w:type="auto"/>
            <w:vMerge/>
            <w:tcBorders>
              <w:top w:val="nil"/>
              <w:left w:val="nil"/>
              <w:bottom w:val="nil"/>
              <w:right w:val="nil"/>
            </w:tcBorders>
          </w:tcPr>
          <w:p w14:paraId="55C6F160" w14:textId="77777777" w:rsidR="0013097D" w:rsidRDefault="0013097D"/>
        </w:tc>
        <w:tc>
          <w:tcPr>
            <w:tcW w:w="5814" w:type="dxa"/>
            <w:tcBorders>
              <w:top w:val="single" w:sz="48" w:space="0" w:color="FFFFFF"/>
              <w:left w:val="nil"/>
              <w:bottom w:val="single" w:sz="48" w:space="0" w:color="FFFFFF"/>
              <w:right w:val="nil"/>
            </w:tcBorders>
            <w:shd w:val="clear" w:color="auto" w:fill="E5E5E5"/>
          </w:tcPr>
          <w:p w14:paraId="4C26E4FD" w14:textId="77777777" w:rsidR="0013097D" w:rsidRDefault="00FF7EAE">
            <w:r>
              <w:rPr>
                <w:rFonts w:ascii="Arial" w:eastAsia="Arial" w:hAnsi="Arial" w:cs="Arial"/>
              </w:rPr>
              <w:t xml:space="preserve"> </w:t>
            </w:r>
          </w:p>
        </w:tc>
      </w:tr>
      <w:tr w:rsidR="0013097D" w14:paraId="4115A357" w14:textId="77777777">
        <w:trPr>
          <w:trHeight w:val="1223"/>
        </w:trPr>
        <w:tc>
          <w:tcPr>
            <w:tcW w:w="0" w:type="auto"/>
            <w:vMerge/>
            <w:tcBorders>
              <w:top w:val="nil"/>
              <w:left w:val="nil"/>
              <w:bottom w:val="single" w:sz="48" w:space="0" w:color="FFFFFF"/>
              <w:right w:val="nil"/>
            </w:tcBorders>
          </w:tcPr>
          <w:p w14:paraId="21DC98C3" w14:textId="77777777" w:rsidR="0013097D" w:rsidRDefault="0013097D"/>
        </w:tc>
        <w:tc>
          <w:tcPr>
            <w:tcW w:w="5814" w:type="dxa"/>
            <w:tcBorders>
              <w:top w:val="single" w:sz="48" w:space="0" w:color="FFFFFF"/>
              <w:left w:val="nil"/>
              <w:bottom w:val="single" w:sz="48" w:space="0" w:color="FFFFFF"/>
              <w:right w:val="nil"/>
            </w:tcBorders>
            <w:shd w:val="clear" w:color="auto" w:fill="E5E5E5"/>
          </w:tcPr>
          <w:p w14:paraId="26DD2DFC" w14:textId="77777777" w:rsidR="0013097D" w:rsidRDefault="00FF7EAE">
            <w:pPr>
              <w:spacing w:after="100"/>
            </w:pPr>
            <w:r>
              <w:rPr>
                <w:rFonts w:ascii="Arial" w:eastAsia="Arial" w:hAnsi="Arial" w:cs="Arial"/>
              </w:rPr>
              <w:t xml:space="preserve">      </w:t>
            </w:r>
          </w:p>
          <w:p w14:paraId="0E39D86B" w14:textId="77777777" w:rsidR="0013097D" w:rsidRDefault="00FF7EAE">
            <w:pPr>
              <w:spacing w:after="98"/>
            </w:pPr>
            <w:r>
              <w:rPr>
                <w:rFonts w:ascii="Arial" w:eastAsia="Arial" w:hAnsi="Arial" w:cs="Arial"/>
              </w:rPr>
              <w:t xml:space="preserve"> </w:t>
            </w:r>
          </w:p>
          <w:p w14:paraId="5C30395E" w14:textId="77777777" w:rsidR="0013097D" w:rsidRDefault="00FF7EAE">
            <w:r>
              <w:rPr>
                <w:rFonts w:ascii="Arial" w:eastAsia="Arial" w:hAnsi="Arial" w:cs="Arial"/>
              </w:rPr>
              <w:t xml:space="preserve"> </w:t>
            </w:r>
          </w:p>
        </w:tc>
      </w:tr>
    </w:tbl>
    <w:p w14:paraId="7628126D" w14:textId="77777777" w:rsidR="0013097D" w:rsidRDefault="00FF7EAE">
      <w:pPr>
        <w:spacing w:after="107"/>
        <w:ind w:left="29"/>
      </w:pPr>
      <w:r>
        <w:rPr>
          <w:rFonts w:ascii="Arial" w:eastAsia="Arial" w:hAnsi="Arial" w:cs="Arial"/>
        </w:rPr>
        <w:t xml:space="preserve"> </w:t>
      </w:r>
    </w:p>
    <w:p w14:paraId="7A57C6EC" w14:textId="50A8A197" w:rsidR="0013097D" w:rsidRPr="00A07E61" w:rsidRDefault="001F21C1" w:rsidP="00C55FA6">
      <w:pPr>
        <w:rPr>
          <w:rFonts w:eastAsiaTheme="minorHAnsi"/>
          <w:color w:val="auto"/>
        </w:rPr>
      </w:pPr>
      <w:r w:rsidRPr="001F21C1">
        <w:rPr>
          <w:rFonts w:ascii="Arial" w:hAnsi="Arial" w:cs="Arial"/>
        </w:rPr>
        <w:t>The information below should be submitted by firms to allow the Prudential Regulation Authority (PRA) to consider an application to appl</w:t>
      </w:r>
      <w:r w:rsidR="000B4322">
        <w:rPr>
          <w:rFonts w:ascii="Arial" w:hAnsi="Arial" w:cs="Arial"/>
        </w:rPr>
        <w:t>y the VA</w:t>
      </w:r>
      <w:r>
        <w:rPr>
          <w:rFonts w:ascii="Arial" w:hAnsi="Arial" w:cs="Arial"/>
        </w:rPr>
        <w:t>.</w:t>
      </w:r>
      <w:r>
        <w:t xml:space="preserve"> </w:t>
      </w:r>
      <w:r w:rsidR="00C55FA6" w:rsidRPr="00C55FA6">
        <w:rPr>
          <w:rFonts w:ascii="Arial" w:eastAsia="Arial" w:hAnsi="Arial" w:cs="Arial"/>
        </w:rPr>
        <w:t>Firms should submit this information with the section 138BA permission application form and</w:t>
      </w:r>
      <w:r>
        <w:rPr>
          <w:rFonts w:ascii="Arial" w:eastAsia="Arial" w:hAnsi="Arial" w:cs="Arial"/>
        </w:rPr>
        <w:t xml:space="preserve"> any</w:t>
      </w:r>
      <w:r w:rsidR="00C55FA6" w:rsidRPr="00C55FA6">
        <w:rPr>
          <w:rFonts w:ascii="Arial" w:eastAsia="Arial" w:hAnsi="Arial" w:cs="Arial"/>
        </w:rPr>
        <w:t xml:space="preserve"> other documentary evidence to</w:t>
      </w:r>
      <w:bookmarkStart w:id="0" w:name="_Hlk166072712"/>
      <w:r w:rsidR="00C55FA6">
        <w:t xml:space="preserve"> </w:t>
      </w:r>
      <w:hyperlink r:id="rId8" w:history="1">
        <w:r w:rsidR="00A07E61" w:rsidRPr="00A07E61">
          <w:rPr>
            <w:rStyle w:val="Hyperlink"/>
            <w:rFonts w:ascii="Arial" w:hAnsi="Arial" w:cs="Arial"/>
          </w:rPr>
          <w:t>PRA-Waivers@bankofengland.co.uk</w:t>
        </w:r>
      </w:hyperlink>
      <w:r w:rsidR="00D97D86" w:rsidRPr="00A07E61">
        <w:rPr>
          <w:rFonts w:ascii="Arial" w:hAnsi="Arial" w:cs="Arial"/>
          <w:sz w:val="27"/>
          <w:szCs w:val="27"/>
        </w:rPr>
        <w:t xml:space="preserve"> </w:t>
      </w:r>
      <w:r w:rsidR="00C55FA6" w:rsidRPr="00C55FA6">
        <w:rPr>
          <w:rFonts w:ascii="Arial" w:eastAsia="Arial" w:hAnsi="Arial" w:cs="Arial"/>
        </w:rPr>
        <w:t xml:space="preserve">and the firm’s usual supervisory contact. </w:t>
      </w:r>
      <w:bookmarkEnd w:id="0"/>
    </w:p>
    <w:p w14:paraId="26A68AE7" w14:textId="6921ED01" w:rsidR="00C55FA6" w:rsidRPr="000B4322" w:rsidRDefault="001F21C1" w:rsidP="00C55FA6">
      <w:pPr>
        <w:rPr>
          <w:rFonts w:ascii="Arial" w:hAnsi="Arial" w:cs="Arial"/>
        </w:rPr>
      </w:pPr>
      <w:r w:rsidRPr="001F21C1">
        <w:rPr>
          <w:rFonts w:ascii="Arial" w:hAnsi="Arial" w:cs="Arial"/>
        </w:rPr>
        <w:t>When preparing an application to apply</w:t>
      </w:r>
      <w:r w:rsidR="000B4322">
        <w:rPr>
          <w:rFonts w:ascii="Arial" w:hAnsi="Arial" w:cs="Arial"/>
        </w:rPr>
        <w:t xml:space="preserve"> for</w:t>
      </w:r>
      <w:r w:rsidRPr="001F21C1">
        <w:rPr>
          <w:rFonts w:ascii="Arial" w:hAnsi="Arial" w:cs="Arial"/>
        </w:rPr>
        <w:t xml:space="preserve"> the </w:t>
      </w:r>
      <w:r w:rsidR="000B4322">
        <w:rPr>
          <w:rFonts w:ascii="Arial" w:hAnsi="Arial" w:cs="Arial"/>
        </w:rPr>
        <w:t>VA firms</w:t>
      </w:r>
      <w:r w:rsidRPr="001F21C1">
        <w:rPr>
          <w:rFonts w:ascii="Arial" w:hAnsi="Arial" w:cs="Arial"/>
        </w:rPr>
        <w:t xml:space="preserve"> should refer to </w:t>
      </w:r>
      <w:r w:rsidR="000B4322">
        <w:rPr>
          <w:rFonts w:ascii="Arial" w:hAnsi="Arial" w:cs="Arial"/>
        </w:rPr>
        <w:t xml:space="preserve">chapter 8 of the </w:t>
      </w:r>
      <w:r>
        <w:rPr>
          <w:rFonts w:ascii="Arial" w:hAnsi="Arial" w:cs="Arial"/>
        </w:rPr>
        <w:t>Technical Provisions</w:t>
      </w:r>
      <w:r w:rsidRPr="001F21C1">
        <w:rPr>
          <w:rFonts w:ascii="Arial" w:hAnsi="Arial" w:cs="Arial"/>
        </w:rPr>
        <w:t xml:space="preserve"> Part of the PRA Rulebook</w:t>
      </w:r>
      <w:r w:rsidRPr="001F21C1">
        <w:rPr>
          <w:rStyle w:val="FootnoteReference"/>
          <w:rFonts w:ascii="Arial" w:hAnsi="Arial" w:cs="Arial"/>
        </w:rPr>
        <w:footnoteReference w:id="1"/>
      </w:r>
      <w:r w:rsidRPr="001F21C1">
        <w:rPr>
          <w:rFonts w:ascii="Arial" w:hAnsi="Arial" w:cs="Arial"/>
        </w:rPr>
        <w:t>.</w:t>
      </w:r>
      <w:r w:rsidR="000B4322">
        <w:rPr>
          <w:rFonts w:ascii="Arial" w:hAnsi="Arial" w:cs="Arial"/>
        </w:rPr>
        <w:t xml:space="preserve"> </w:t>
      </w:r>
      <w:r w:rsidR="00C55FA6" w:rsidRPr="006519B7">
        <w:rPr>
          <w:rFonts w:ascii="Arial" w:eastAsia="Arial" w:hAnsi="Arial" w:cs="Arial"/>
        </w:rPr>
        <w:t>Firms should refer to the</w:t>
      </w:r>
      <w:r>
        <w:rPr>
          <w:rFonts w:ascii="Arial" w:eastAsia="Arial" w:hAnsi="Arial" w:cs="Arial"/>
        </w:rPr>
        <w:t xml:space="preserve"> statement of policy (SoP):</w:t>
      </w:r>
      <w:r w:rsidR="00C55FA6" w:rsidRPr="006519B7">
        <w:rPr>
          <w:rFonts w:ascii="Arial" w:eastAsia="Arial" w:hAnsi="Arial" w:cs="Arial"/>
        </w:rPr>
        <w:t xml:space="preserve"> </w:t>
      </w:r>
      <w:r>
        <w:rPr>
          <w:rFonts w:ascii="Arial" w:eastAsia="Arial" w:hAnsi="Arial" w:cs="Arial"/>
        </w:rPr>
        <w:t>‘</w:t>
      </w:r>
      <w:r w:rsidR="000B4322">
        <w:rPr>
          <w:rFonts w:ascii="Arial" w:eastAsia="Arial" w:hAnsi="Arial" w:cs="Arial"/>
        </w:rPr>
        <w:t xml:space="preserve">Solvency II: Volatility Adjustment </w:t>
      </w:r>
      <w:r w:rsidRPr="001F21C1">
        <w:rPr>
          <w:rFonts w:ascii="Arial" w:hAnsi="Arial" w:cs="Arial"/>
        </w:rPr>
        <w:t>Permissions</w:t>
      </w:r>
      <w:r>
        <w:rPr>
          <w:rFonts w:ascii="Arial" w:hAnsi="Arial" w:cs="Arial"/>
        </w:rPr>
        <w:t>’</w:t>
      </w:r>
      <w:r>
        <w:rPr>
          <w:rStyle w:val="FootnoteReference"/>
          <w:rFonts w:ascii="Arial" w:eastAsia="Arial" w:hAnsi="Arial" w:cs="Arial"/>
        </w:rPr>
        <w:t xml:space="preserve"> </w:t>
      </w:r>
      <w:r w:rsidR="003C6DA9">
        <w:rPr>
          <w:rStyle w:val="FootnoteReference"/>
          <w:rFonts w:ascii="Arial" w:eastAsia="Arial" w:hAnsi="Arial" w:cs="Arial"/>
        </w:rPr>
        <w:footnoteReference w:id="2"/>
      </w:r>
      <w:r w:rsidR="00C55FA6" w:rsidRPr="006519B7">
        <w:rPr>
          <w:rFonts w:ascii="Arial" w:eastAsia="Arial" w:hAnsi="Arial" w:cs="Arial"/>
        </w:rPr>
        <w:t xml:space="preserve"> for the PRA’s approach to granting regulatory permissions.</w:t>
      </w:r>
      <w:r>
        <w:rPr>
          <w:rFonts w:ascii="Arial" w:eastAsia="Arial" w:hAnsi="Arial" w:cs="Arial"/>
        </w:rPr>
        <w:t xml:space="preserve"> </w:t>
      </w:r>
    </w:p>
    <w:p w14:paraId="0D5590F4" w14:textId="62ECEA4A" w:rsidR="00C55FA6" w:rsidRPr="000B4322" w:rsidRDefault="000B4322" w:rsidP="00C55FA6">
      <w:pPr>
        <w:rPr>
          <w:rFonts w:ascii="Arial" w:hAnsi="Arial" w:cs="Arial"/>
        </w:rPr>
      </w:pPr>
      <w:r w:rsidRPr="000B4322">
        <w:rPr>
          <w:rFonts w:ascii="Arial" w:hAnsi="Arial" w:cs="Arial"/>
        </w:rPr>
        <w:t>For each of the items listed below, firms should provide a link or document reference signposting clearly where the item of evidence can be found within the application.</w:t>
      </w:r>
    </w:p>
    <w:p w14:paraId="14773829" w14:textId="3E0BBF83" w:rsidR="0013097D" w:rsidRDefault="0013097D" w:rsidP="005F23FD">
      <w:pPr>
        <w:spacing w:after="103"/>
      </w:pPr>
    </w:p>
    <w:p w14:paraId="11071C19" w14:textId="77777777" w:rsidR="00EF294F" w:rsidRPr="00EF294F" w:rsidRDefault="00EF294F" w:rsidP="00EF294F"/>
    <w:tbl>
      <w:tblPr>
        <w:tblStyle w:val="TableGrid"/>
        <w:tblW w:w="9638" w:type="dxa"/>
        <w:tblInd w:w="30" w:type="dxa"/>
        <w:tblCellMar>
          <w:top w:w="5" w:type="dxa"/>
          <w:left w:w="107" w:type="dxa"/>
          <w:right w:w="115" w:type="dxa"/>
        </w:tblCellMar>
        <w:tblLook w:val="04A0" w:firstRow="1" w:lastRow="0" w:firstColumn="1" w:lastColumn="0" w:noHBand="0" w:noVBand="1"/>
      </w:tblPr>
      <w:tblGrid>
        <w:gridCol w:w="707"/>
        <w:gridCol w:w="6949"/>
        <w:gridCol w:w="1982"/>
      </w:tblGrid>
      <w:tr w:rsidR="0013097D" w14:paraId="27DC8CE4" w14:textId="77777777">
        <w:trPr>
          <w:trHeight w:val="540"/>
        </w:trPr>
        <w:tc>
          <w:tcPr>
            <w:tcW w:w="707" w:type="dxa"/>
            <w:tcBorders>
              <w:top w:val="single" w:sz="4" w:space="0" w:color="000000"/>
              <w:left w:val="single" w:sz="4" w:space="0" w:color="000000"/>
              <w:bottom w:val="single" w:sz="4" w:space="0" w:color="000000"/>
              <w:right w:val="nil"/>
            </w:tcBorders>
            <w:shd w:val="clear" w:color="auto" w:fill="D9D9D9"/>
            <w:vAlign w:val="center"/>
          </w:tcPr>
          <w:p w14:paraId="1A05090D" w14:textId="77777777" w:rsidR="0013097D" w:rsidRDefault="00FF7EAE">
            <w:r>
              <w:rPr>
                <w:rFonts w:ascii="Arial" w:eastAsia="Arial" w:hAnsi="Arial" w:cs="Arial"/>
                <w:b/>
                <w:color w:val="FFFFFF"/>
              </w:rPr>
              <w:t xml:space="preserve"> </w:t>
            </w:r>
          </w:p>
        </w:tc>
        <w:tc>
          <w:tcPr>
            <w:tcW w:w="6949" w:type="dxa"/>
            <w:tcBorders>
              <w:top w:val="single" w:sz="4" w:space="0" w:color="000000"/>
              <w:left w:val="nil"/>
              <w:bottom w:val="single" w:sz="4" w:space="0" w:color="000000"/>
              <w:right w:val="single" w:sz="4" w:space="0" w:color="000000"/>
            </w:tcBorders>
            <w:shd w:val="clear" w:color="auto" w:fill="D9D9D9"/>
          </w:tcPr>
          <w:p w14:paraId="4E38EBA6" w14:textId="77777777" w:rsidR="0013097D" w:rsidRDefault="0013097D"/>
        </w:tc>
        <w:tc>
          <w:tcPr>
            <w:tcW w:w="1982" w:type="dxa"/>
            <w:tcBorders>
              <w:top w:val="single" w:sz="4" w:space="0" w:color="000000"/>
              <w:left w:val="single" w:sz="4" w:space="0" w:color="000000"/>
              <w:bottom w:val="single" w:sz="4" w:space="0" w:color="000000"/>
              <w:right w:val="single" w:sz="4" w:space="0" w:color="000000"/>
            </w:tcBorders>
            <w:shd w:val="clear" w:color="auto" w:fill="D9D9D9"/>
          </w:tcPr>
          <w:p w14:paraId="5EDD0D41" w14:textId="645328A7" w:rsidR="005D7671" w:rsidRDefault="00FF7EAE" w:rsidP="005D7671">
            <w:pPr>
              <w:spacing w:after="4"/>
              <w:ind w:left="71"/>
              <w:jc w:val="center"/>
            </w:pPr>
            <w:r>
              <w:rPr>
                <w:rFonts w:ascii="Arial" w:eastAsia="Arial" w:hAnsi="Arial" w:cs="Arial"/>
                <w:b/>
                <w:color w:val="FFFFFF"/>
              </w:rPr>
              <w:t xml:space="preserve"> </w:t>
            </w:r>
            <w:r w:rsidR="005D7671">
              <w:rPr>
                <w:rFonts w:ascii="Arial" w:eastAsia="Arial" w:hAnsi="Arial" w:cs="Arial"/>
                <w:b/>
              </w:rPr>
              <w:t xml:space="preserve">Cross reference to </w:t>
            </w:r>
          </w:p>
          <w:p w14:paraId="55DD5A43" w14:textId="3257909A" w:rsidR="0013097D" w:rsidRDefault="005D7671" w:rsidP="005D7671">
            <w:pPr>
              <w:ind w:right="7"/>
              <w:jc w:val="center"/>
            </w:pPr>
            <w:r>
              <w:rPr>
                <w:rFonts w:ascii="Arial" w:eastAsia="Arial" w:hAnsi="Arial" w:cs="Arial"/>
                <w:b/>
              </w:rPr>
              <w:t>document(s)</w:t>
            </w:r>
            <w:r>
              <w:rPr>
                <w:rFonts w:ascii="Arial" w:eastAsia="Arial" w:hAnsi="Arial" w:cs="Arial"/>
                <w:b/>
                <w:color w:val="FFFFFF"/>
              </w:rPr>
              <w:t xml:space="preserve"> </w:t>
            </w:r>
            <w:r w:rsidR="00FF7EAE">
              <w:rPr>
                <w:rFonts w:ascii="Arial" w:eastAsia="Arial" w:hAnsi="Arial" w:cs="Arial"/>
                <w:b/>
                <w:color w:val="FFFFFF"/>
              </w:rPr>
              <w:t xml:space="preserve"> </w:t>
            </w:r>
          </w:p>
        </w:tc>
      </w:tr>
      <w:tr w:rsidR="0013097D" w14:paraId="2247A65E" w14:textId="77777777">
        <w:trPr>
          <w:trHeight w:val="391"/>
        </w:trPr>
        <w:tc>
          <w:tcPr>
            <w:tcW w:w="707" w:type="dxa"/>
            <w:tcBorders>
              <w:top w:val="single" w:sz="4" w:space="0" w:color="000000"/>
              <w:left w:val="single" w:sz="4" w:space="0" w:color="000000"/>
              <w:bottom w:val="single" w:sz="4" w:space="0" w:color="000000"/>
              <w:right w:val="single" w:sz="4" w:space="0" w:color="000000"/>
            </w:tcBorders>
          </w:tcPr>
          <w:p w14:paraId="02485815" w14:textId="5EF5FC64" w:rsidR="0013097D" w:rsidRDefault="005F23FD">
            <w:r>
              <w:rPr>
                <w:rFonts w:ascii="Arial" w:eastAsia="Arial" w:hAnsi="Arial" w:cs="Arial"/>
              </w:rPr>
              <w:t>1</w:t>
            </w:r>
            <w:r w:rsidR="00FF7EAE">
              <w:rPr>
                <w:rFonts w:ascii="Arial" w:eastAsia="Arial" w:hAnsi="Arial" w:cs="Arial"/>
              </w:rPr>
              <w:t xml:space="preserve">. </w:t>
            </w:r>
          </w:p>
        </w:tc>
        <w:tc>
          <w:tcPr>
            <w:tcW w:w="6949" w:type="dxa"/>
            <w:tcBorders>
              <w:top w:val="single" w:sz="4" w:space="0" w:color="000000"/>
              <w:left w:val="single" w:sz="4" w:space="0" w:color="000000"/>
              <w:bottom w:val="single" w:sz="4" w:space="0" w:color="000000"/>
              <w:right w:val="single" w:sz="4" w:space="0" w:color="000000"/>
            </w:tcBorders>
          </w:tcPr>
          <w:p w14:paraId="3B3B0508" w14:textId="77777777" w:rsidR="000B4322" w:rsidRDefault="000B4322">
            <w:pPr>
              <w:ind w:left="1"/>
              <w:rPr>
                <w:rFonts w:ascii="Arial" w:eastAsia="Arial" w:hAnsi="Arial" w:cs="Arial"/>
              </w:rPr>
            </w:pPr>
            <w:r>
              <w:rPr>
                <w:rFonts w:ascii="Arial" w:eastAsia="Arial" w:hAnsi="Arial" w:cs="Arial"/>
              </w:rPr>
              <w:t>The written policy on risk management required by Conditions Governing Business 2.4, including:</w:t>
            </w:r>
          </w:p>
          <w:p w14:paraId="2AEC634D" w14:textId="77777777" w:rsidR="0013097D" w:rsidRDefault="000B4322" w:rsidP="000B4322">
            <w:pPr>
              <w:pStyle w:val="ListParagraph"/>
              <w:numPr>
                <w:ilvl w:val="0"/>
                <w:numId w:val="5"/>
              </w:numPr>
              <w:rPr>
                <w:rFonts w:ascii="Arial" w:hAnsi="Arial" w:cs="Arial"/>
              </w:rPr>
            </w:pPr>
            <w:r>
              <w:rPr>
                <w:rFonts w:ascii="Arial" w:hAnsi="Arial" w:cs="Arial"/>
              </w:rPr>
              <w:lastRenderedPageBreak/>
              <w:t xml:space="preserve">the firm’s policy on the criteria </w:t>
            </w:r>
            <w:r w:rsidR="00D30F96">
              <w:rPr>
                <w:rFonts w:ascii="Arial" w:hAnsi="Arial" w:cs="Arial"/>
              </w:rPr>
              <w:t xml:space="preserve">for the application of the VA, in accordance with the Conditions Governing Business </w:t>
            </w:r>
            <w:proofErr w:type="gramStart"/>
            <w:r w:rsidR="00D30F96">
              <w:rPr>
                <w:rFonts w:ascii="Arial" w:hAnsi="Arial" w:cs="Arial"/>
              </w:rPr>
              <w:t>2.5(2);</w:t>
            </w:r>
            <w:proofErr w:type="gramEnd"/>
          </w:p>
          <w:p w14:paraId="2C67C125" w14:textId="059A2837" w:rsidR="00D30F96" w:rsidRPr="000B4322" w:rsidRDefault="00D30F96" w:rsidP="000B4322">
            <w:pPr>
              <w:pStyle w:val="ListParagraph"/>
              <w:numPr>
                <w:ilvl w:val="0"/>
                <w:numId w:val="5"/>
              </w:numPr>
              <w:rPr>
                <w:rFonts w:ascii="Arial" w:hAnsi="Arial" w:cs="Arial"/>
              </w:rPr>
            </w:pPr>
            <w:r>
              <w:rPr>
                <w:rFonts w:ascii="Arial" w:hAnsi="Arial" w:cs="Arial"/>
              </w:rPr>
              <w:t xml:space="preserve">the firm’s assessment </w:t>
            </w:r>
            <w:proofErr w:type="gramStart"/>
            <w:r>
              <w:rPr>
                <w:rFonts w:ascii="Arial" w:hAnsi="Arial" w:cs="Arial"/>
              </w:rPr>
              <w:t>of:</w:t>
            </w:r>
            <w:proofErr w:type="gramEnd"/>
            <w:r>
              <w:rPr>
                <w:rFonts w:ascii="Arial" w:hAnsi="Arial" w:cs="Arial"/>
              </w:rPr>
              <w:t xml:space="preserve"> the sensitivity of the technical provisions and eligible own funds to the assumptions underlying the calculation of the VA; the possible effect of a forced sale of assets on the eligible own funds; and the impact of a reduction of the VA to zero in accordance with Conditions Governing Business 3.2(3)</w:t>
            </w:r>
          </w:p>
        </w:tc>
        <w:tc>
          <w:tcPr>
            <w:tcW w:w="1982" w:type="dxa"/>
            <w:tcBorders>
              <w:top w:val="single" w:sz="4" w:space="0" w:color="000000"/>
              <w:left w:val="single" w:sz="4" w:space="0" w:color="000000"/>
              <w:bottom w:val="single" w:sz="4" w:space="0" w:color="000000"/>
              <w:right w:val="single" w:sz="4" w:space="0" w:color="000000"/>
            </w:tcBorders>
          </w:tcPr>
          <w:sdt>
            <w:sdtPr>
              <w:id w:val="-673579447"/>
              <w:placeholder>
                <w:docPart w:val="ECEC086518BF40F1A58F394C5E43D492"/>
              </w:placeholder>
              <w:showingPlcHdr/>
            </w:sdtPr>
            <w:sdtContent>
              <w:p w14:paraId="63EB0E30" w14:textId="72C682AF" w:rsidR="00496FF0" w:rsidRDefault="005D7671" w:rsidP="00496FF0">
                <w:r w:rsidRPr="00E01814">
                  <w:rPr>
                    <w:rStyle w:val="PlaceholderText"/>
                    <w:rFonts w:eastAsiaTheme="minorHAnsi"/>
                  </w:rPr>
                  <w:t>Click or tap here to enter text.</w:t>
                </w:r>
              </w:p>
            </w:sdtContent>
          </w:sdt>
          <w:p w14:paraId="23698608" w14:textId="51006D8E" w:rsidR="0013097D" w:rsidRDefault="0013097D">
            <w:pPr>
              <w:ind w:left="13"/>
              <w:jc w:val="center"/>
            </w:pPr>
          </w:p>
        </w:tc>
      </w:tr>
      <w:tr w:rsidR="00F24FD4" w14:paraId="300B0FD8" w14:textId="77777777">
        <w:trPr>
          <w:trHeight w:val="391"/>
        </w:trPr>
        <w:tc>
          <w:tcPr>
            <w:tcW w:w="707" w:type="dxa"/>
            <w:tcBorders>
              <w:top w:val="single" w:sz="4" w:space="0" w:color="000000"/>
              <w:left w:val="single" w:sz="4" w:space="0" w:color="000000"/>
              <w:bottom w:val="single" w:sz="4" w:space="0" w:color="000000"/>
              <w:right w:val="single" w:sz="4" w:space="0" w:color="000000"/>
            </w:tcBorders>
          </w:tcPr>
          <w:p w14:paraId="4A071C6E" w14:textId="45837CC4" w:rsidR="00F24FD4" w:rsidRDefault="00F24FD4">
            <w:pPr>
              <w:rPr>
                <w:rFonts w:ascii="Arial" w:eastAsia="Arial" w:hAnsi="Arial" w:cs="Arial"/>
              </w:rPr>
            </w:pPr>
            <w:r>
              <w:rPr>
                <w:rFonts w:ascii="Arial" w:eastAsia="Arial" w:hAnsi="Arial" w:cs="Arial"/>
              </w:rPr>
              <w:t>2.</w:t>
            </w:r>
          </w:p>
        </w:tc>
        <w:tc>
          <w:tcPr>
            <w:tcW w:w="6949" w:type="dxa"/>
            <w:tcBorders>
              <w:top w:val="single" w:sz="4" w:space="0" w:color="000000"/>
              <w:left w:val="single" w:sz="4" w:space="0" w:color="000000"/>
              <w:bottom w:val="single" w:sz="4" w:space="0" w:color="000000"/>
              <w:right w:val="single" w:sz="4" w:space="0" w:color="000000"/>
            </w:tcBorders>
          </w:tcPr>
          <w:p w14:paraId="0DDA7DAF" w14:textId="389E71E2" w:rsidR="00F24FD4" w:rsidRDefault="00CD4C22">
            <w:pPr>
              <w:ind w:left="1"/>
              <w:rPr>
                <w:rFonts w:ascii="Arial" w:eastAsia="Arial" w:hAnsi="Arial" w:cs="Arial"/>
              </w:rPr>
            </w:pPr>
            <w:r>
              <w:rPr>
                <w:rFonts w:ascii="Arial" w:eastAsia="Arial" w:hAnsi="Arial" w:cs="Arial"/>
              </w:rPr>
              <w:t>The liquidity plan projecting the incoming and outgoing cash-flows in relation to the assets and liabilities subject to the VA, as required by Conditions Governing Business 3.1(3)</w:t>
            </w:r>
          </w:p>
        </w:tc>
        <w:tc>
          <w:tcPr>
            <w:tcW w:w="1982" w:type="dxa"/>
            <w:tcBorders>
              <w:top w:val="single" w:sz="4" w:space="0" w:color="000000"/>
              <w:left w:val="single" w:sz="4" w:space="0" w:color="000000"/>
              <w:bottom w:val="single" w:sz="4" w:space="0" w:color="000000"/>
              <w:right w:val="single" w:sz="4" w:space="0" w:color="000000"/>
            </w:tcBorders>
          </w:tcPr>
          <w:p w14:paraId="12144E43" w14:textId="77777777" w:rsidR="00F24FD4" w:rsidRDefault="00F24FD4" w:rsidP="00496FF0"/>
        </w:tc>
      </w:tr>
      <w:tr w:rsidR="00CD4C22" w14:paraId="462F12CC" w14:textId="77777777">
        <w:trPr>
          <w:trHeight w:val="391"/>
        </w:trPr>
        <w:tc>
          <w:tcPr>
            <w:tcW w:w="707" w:type="dxa"/>
            <w:tcBorders>
              <w:top w:val="single" w:sz="4" w:space="0" w:color="000000"/>
              <w:left w:val="single" w:sz="4" w:space="0" w:color="000000"/>
              <w:bottom w:val="single" w:sz="4" w:space="0" w:color="000000"/>
              <w:right w:val="single" w:sz="4" w:space="0" w:color="000000"/>
            </w:tcBorders>
          </w:tcPr>
          <w:p w14:paraId="19B521DD" w14:textId="35EA1382" w:rsidR="00CD4C22" w:rsidRDefault="00CD4C22">
            <w:pPr>
              <w:rPr>
                <w:rFonts w:ascii="Arial" w:eastAsia="Arial" w:hAnsi="Arial" w:cs="Arial"/>
              </w:rPr>
            </w:pPr>
            <w:r>
              <w:rPr>
                <w:rFonts w:ascii="Arial" w:eastAsia="Arial" w:hAnsi="Arial" w:cs="Arial"/>
              </w:rPr>
              <w:t>3.</w:t>
            </w:r>
          </w:p>
        </w:tc>
        <w:tc>
          <w:tcPr>
            <w:tcW w:w="6949" w:type="dxa"/>
            <w:tcBorders>
              <w:top w:val="single" w:sz="4" w:space="0" w:color="000000"/>
              <w:left w:val="single" w:sz="4" w:space="0" w:color="000000"/>
              <w:bottom w:val="single" w:sz="4" w:space="0" w:color="000000"/>
              <w:right w:val="single" w:sz="4" w:space="0" w:color="000000"/>
            </w:tcBorders>
          </w:tcPr>
          <w:p w14:paraId="54E0D9D9" w14:textId="3B28B1B6" w:rsidR="00CD4C22" w:rsidRDefault="00CD4C22">
            <w:pPr>
              <w:ind w:left="1"/>
              <w:rPr>
                <w:rFonts w:ascii="Arial" w:eastAsia="Arial" w:hAnsi="Arial" w:cs="Arial"/>
              </w:rPr>
            </w:pPr>
            <w:r>
              <w:rPr>
                <w:rFonts w:ascii="Arial" w:eastAsia="Arial" w:hAnsi="Arial" w:cs="Arial"/>
              </w:rPr>
              <w:t xml:space="preserve">Where the reduction </w:t>
            </w:r>
            <w:r w:rsidRPr="00CD4C22">
              <w:rPr>
                <w:rFonts w:ascii="Arial" w:hAnsi="Arial" w:cs="Arial"/>
              </w:rPr>
              <w:t>of the VA to zero would result in non-compliance with the Solvency Capital Requirement (SCR), an analysis of the measures the firm could apply in such a situation to re-establish the level of eligible own funds covering the SCR or to reduce its risk profile to restore compliance with the SCR, in accordance with Conditions Governing Business 3.3</w:t>
            </w:r>
          </w:p>
        </w:tc>
        <w:tc>
          <w:tcPr>
            <w:tcW w:w="1982" w:type="dxa"/>
            <w:tcBorders>
              <w:top w:val="single" w:sz="4" w:space="0" w:color="000000"/>
              <w:left w:val="single" w:sz="4" w:space="0" w:color="000000"/>
              <w:bottom w:val="single" w:sz="4" w:space="0" w:color="000000"/>
              <w:right w:val="single" w:sz="4" w:space="0" w:color="000000"/>
            </w:tcBorders>
          </w:tcPr>
          <w:p w14:paraId="51124D5F" w14:textId="77777777" w:rsidR="00CD4C22" w:rsidRDefault="00CD4C22" w:rsidP="00496FF0"/>
        </w:tc>
      </w:tr>
      <w:tr w:rsidR="00CD4C22" w14:paraId="255AAD6B" w14:textId="77777777">
        <w:trPr>
          <w:trHeight w:val="391"/>
        </w:trPr>
        <w:tc>
          <w:tcPr>
            <w:tcW w:w="707" w:type="dxa"/>
            <w:tcBorders>
              <w:top w:val="single" w:sz="4" w:space="0" w:color="000000"/>
              <w:left w:val="single" w:sz="4" w:space="0" w:color="000000"/>
              <w:bottom w:val="single" w:sz="4" w:space="0" w:color="000000"/>
              <w:right w:val="single" w:sz="4" w:space="0" w:color="000000"/>
            </w:tcBorders>
          </w:tcPr>
          <w:p w14:paraId="598C05ED" w14:textId="6FE267DE" w:rsidR="00CD4C22" w:rsidRDefault="00CD4C22">
            <w:pPr>
              <w:rPr>
                <w:rFonts w:ascii="Arial" w:eastAsia="Arial" w:hAnsi="Arial" w:cs="Arial"/>
              </w:rPr>
            </w:pPr>
            <w:r>
              <w:rPr>
                <w:rFonts w:ascii="Arial" w:eastAsia="Arial" w:hAnsi="Arial" w:cs="Arial"/>
              </w:rPr>
              <w:t>4.</w:t>
            </w:r>
          </w:p>
        </w:tc>
        <w:tc>
          <w:tcPr>
            <w:tcW w:w="6949" w:type="dxa"/>
            <w:tcBorders>
              <w:top w:val="single" w:sz="4" w:space="0" w:color="000000"/>
              <w:left w:val="single" w:sz="4" w:space="0" w:color="000000"/>
              <w:bottom w:val="single" w:sz="4" w:space="0" w:color="000000"/>
              <w:right w:val="single" w:sz="4" w:space="0" w:color="000000"/>
            </w:tcBorders>
          </w:tcPr>
          <w:p w14:paraId="6BCC4796" w14:textId="60C5031D" w:rsidR="00CD4C22" w:rsidRPr="00CD4C22" w:rsidRDefault="00CD4C22">
            <w:pPr>
              <w:ind w:left="1"/>
              <w:rPr>
                <w:rFonts w:ascii="Arial" w:eastAsia="Arial" w:hAnsi="Arial" w:cs="Arial"/>
              </w:rPr>
            </w:pPr>
            <w:r>
              <w:rPr>
                <w:rFonts w:ascii="Arial" w:hAnsi="Arial" w:cs="Arial"/>
              </w:rPr>
              <w:t>T</w:t>
            </w:r>
            <w:r w:rsidRPr="00CD4C22">
              <w:rPr>
                <w:rFonts w:ascii="Arial" w:hAnsi="Arial" w:cs="Arial"/>
              </w:rPr>
              <w:t xml:space="preserve">he assessment of compliance with the capital requirements referred to in Conditions Governing Business 3.8(2)(b), with and without </w:t>
            </w:r>
            <w:proofErr w:type="gramStart"/>
            <w:r w:rsidRPr="00CD4C22">
              <w:rPr>
                <w:rFonts w:ascii="Arial" w:hAnsi="Arial" w:cs="Arial"/>
              </w:rPr>
              <w:t>taking into account</w:t>
            </w:r>
            <w:proofErr w:type="gramEnd"/>
            <w:r w:rsidRPr="00CD4C22">
              <w:rPr>
                <w:rFonts w:ascii="Arial" w:hAnsi="Arial" w:cs="Arial"/>
              </w:rPr>
              <w:t xml:space="preserve"> the VA</w:t>
            </w:r>
            <w:r>
              <w:rPr>
                <w:rFonts w:ascii="Arial" w:hAnsi="Arial" w:cs="Arial"/>
              </w:rPr>
              <w:t xml:space="preserve">, </w:t>
            </w:r>
            <w:r w:rsidRPr="00CD4C22">
              <w:rPr>
                <w:rFonts w:ascii="Arial" w:hAnsi="Arial" w:cs="Arial"/>
              </w:rPr>
              <w:t>as required by Conditions Governing Business 3.8(4)</w:t>
            </w:r>
          </w:p>
        </w:tc>
        <w:tc>
          <w:tcPr>
            <w:tcW w:w="1982" w:type="dxa"/>
            <w:tcBorders>
              <w:top w:val="single" w:sz="4" w:space="0" w:color="000000"/>
              <w:left w:val="single" w:sz="4" w:space="0" w:color="000000"/>
              <w:bottom w:val="single" w:sz="4" w:space="0" w:color="000000"/>
              <w:right w:val="single" w:sz="4" w:space="0" w:color="000000"/>
            </w:tcBorders>
          </w:tcPr>
          <w:p w14:paraId="16E33450" w14:textId="77777777" w:rsidR="00CD4C22" w:rsidRDefault="00CD4C22" w:rsidP="00496FF0"/>
        </w:tc>
      </w:tr>
      <w:tr w:rsidR="00CD4C22" w14:paraId="4DDE3ED4" w14:textId="77777777">
        <w:trPr>
          <w:trHeight w:val="391"/>
        </w:trPr>
        <w:tc>
          <w:tcPr>
            <w:tcW w:w="707" w:type="dxa"/>
            <w:tcBorders>
              <w:top w:val="single" w:sz="4" w:space="0" w:color="000000"/>
              <w:left w:val="single" w:sz="4" w:space="0" w:color="000000"/>
              <w:bottom w:val="single" w:sz="4" w:space="0" w:color="000000"/>
              <w:right w:val="single" w:sz="4" w:space="0" w:color="000000"/>
            </w:tcBorders>
          </w:tcPr>
          <w:p w14:paraId="460E0768" w14:textId="5E813927" w:rsidR="00CD4C22" w:rsidRDefault="00CD4C22">
            <w:pPr>
              <w:rPr>
                <w:rFonts w:ascii="Arial" w:eastAsia="Arial" w:hAnsi="Arial" w:cs="Arial"/>
              </w:rPr>
            </w:pPr>
            <w:r>
              <w:rPr>
                <w:rFonts w:ascii="Arial" w:eastAsia="Arial" w:hAnsi="Arial" w:cs="Arial"/>
              </w:rPr>
              <w:t>5.</w:t>
            </w:r>
          </w:p>
        </w:tc>
        <w:tc>
          <w:tcPr>
            <w:tcW w:w="6949" w:type="dxa"/>
            <w:tcBorders>
              <w:top w:val="single" w:sz="4" w:space="0" w:color="000000"/>
              <w:left w:val="single" w:sz="4" w:space="0" w:color="000000"/>
              <w:bottom w:val="single" w:sz="4" w:space="0" w:color="000000"/>
              <w:right w:val="single" w:sz="4" w:space="0" w:color="000000"/>
            </w:tcBorders>
          </w:tcPr>
          <w:p w14:paraId="233F0423" w14:textId="39DC2C0A" w:rsidR="00CD4C22" w:rsidRPr="00CD4C22" w:rsidRDefault="00CD4C22">
            <w:pPr>
              <w:ind w:left="1"/>
              <w:rPr>
                <w:rFonts w:ascii="Arial" w:hAnsi="Arial" w:cs="Arial"/>
              </w:rPr>
            </w:pPr>
            <w:r>
              <w:rPr>
                <w:rFonts w:ascii="Arial" w:hAnsi="Arial" w:cs="Arial"/>
              </w:rPr>
              <w:t>Any other information that the firm considers relevant</w:t>
            </w:r>
          </w:p>
        </w:tc>
        <w:tc>
          <w:tcPr>
            <w:tcW w:w="1982" w:type="dxa"/>
            <w:tcBorders>
              <w:top w:val="single" w:sz="4" w:space="0" w:color="000000"/>
              <w:left w:val="single" w:sz="4" w:space="0" w:color="000000"/>
              <w:bottom w:val="single" w:sz="4" w:space="0" w:color="000000"/>
              <w:right w:val="single" w:sz="4" w:space="0" w:color="000000"/>
            </w:tcBorders>
          </w:tcPr>
          <w:p w14:paraId="438E8702" w14:textId="77777777" w:rsidR="00CD4C22" w:rsidRDefault="00CD4C22" w:rsidP="00496FF0"/>
        </w:tc>
      </w:tr>
      <w:tr w:rsidR="00CD4C22" w14:paraId="5D038AC4" w14:textId="77777777">
        <w:trPr>
          <w:trHeight w:val="391"/>
        </w:trPr>
        <w:tc>
          <w:tcPr>
            <w:tcW w:w="707" w:type="dxa"/>
            <w:tcBorders>
              <w:top w:val="single" w:sz="4" w:space="0" w:color="000000"/>
              <w:left w:val="single" w:sz="4" w:space="0" w:color="000000"/>
              <w:bottom w:val="single" w:sz="4" w:space="0" w:color="000000"/>
              <w:right w:val="single" w:sz="4" w:space="0" w:color="000000"/>
            </w:tcBorders>
          </w:tcPr>
          <w:p w14:paraId="7CDCCC4C" w14:textId="586D87B4" w:rsidR="00CD4C22" w:rsidRDefault="00CD4C22">
            <w:pPr>
              <w:rPr>
                <w:rFonts w:ascii="Arial" w:eastAsia="Arial" w:hAnsi="Arial" w:cs="Arial"/>
              </w:rPr>
            </w:pPr>
            <w:r>
              <w:rPr>
                <w:rFonts w:ascii="Arial" w:eastAsia="Arial" w:hAnsi="Arial" w:cs="Arial"/>
              </w:rPr>
              <w:t>6.</w:t>
            </w:r>
          </w:p>
        </w:tc>
        <w:tc>
          <w:tcPr>
            <w:tcW w:w="6949" w:type="dxa"/>
            <w:tcBorders>
              <w:top w:val="single" w:sz="4" w:space="0" w:color="000000"/>
              <w:left w:val="single" w:sz="4" w:space="0" w:color="000000"/>
              <w:bottom w:val="single" w:sz="4" w:space="0" w:color="000000"/>
              <w:right w:val="single" w:sz="4" w:space="0" w:color="000000"/>
            </w:tcBorders>
          </w:tcPr>
          <w:p w14:paraId="3D966BA9" w14:textId="3F670681" w:rsidR="00CD4C22" w:rsidRPr="00CD4C22" w:rsidRDefault="00CD4C22">
            <w:pPr>
              <w:ind w:left="1"/>
              <w:rPr>
                <w:rFonts w:ascii="Arial" w:hAnsi="Arial" w:cs="Arial"/>
              </w:rPr>
            </w:pPr>
            <w:r>
              <w:rPr>
                <w:rFonts w:ascii="Arial" w:hAnsi="Arial" w:cs="Arial"/>
              </w:rPr>
              <w:t>A</w:t>
            </w:r>
            <w:r w:rsidRPr="00CD4C22">
              <w:rPr>
                <w:rFonts w:ascii="Arial" w:hAnsi="Arial" w:cs="Arial"/>
              </w:rPr>
              <w:t xml:space="preserve"> cover letter stating that the application is endorsed by the senior manager responsible for the ORSA that is presented to the firm’s governing body and explaining how the criteria in paragraph 2.8 </w:t>
            </w:r>
            <w:r>
              <w:rPr>
                <w:rFonts w:ascii="Arial" w:hAnsi="Arial" w:cs="Arial"/>
              </w:rPr>
              <w:t xml:space="preserve">of </w:t>
            </w:r>
            <w:r>
              <w:rPr>
                <w:rFonts w:ascii="Arial" w:eastAsia="Arial" w:hAnsi="Arial" w:cs="Arial"/>
              </w:rPr>
              <w:t>SoP:</w:t>
            </w:r>
            <w:r w:rsidRPr="006519B7">
              <w:rPr>
                <w:rFonts w:ascii="Arial" w:eastAsia="Arial" w:hAnsi="Arial" w:cs="Arial"/>
              </w:rPr>
              <w:t xml:space="preserve"> </w:t>
            </w:r>
            <w:r>
              <w:rPr>
                <w:rFonts w:ascii="Arial" w:eastAsia="Arial" w:hAnsi="Arial" w:cs="Arial"/>
              </w:rPr>
              <w:t xml:space="preserve">‘Solvency II: Volatility Adjustment </w:t>
            </w:r>
            <w:r w:rsidRPr="001F21C1">
              <w:rPr>
                <w:rFonts w:ascii="Arial" w:hAnsi="Arial" w:cs="Arial"/>
              </w:rPr>
              <w:t>Permissions</w:t>
            </w:r>
            <w:r>
              <w:rPr>
                <w:rFonts w:ascii="Arial" w:hAnsi="Arial" w:cs="Arial"/>
              </w:rPr>
              <w:t>’ are met.</w:t>
            </w:r>
          </w:p>
        </w:tc>
        <w:tc>
          <w:tcPr>
            <w:tcW w:w="1982" w:type="dxa"/>
            <w:tcBorders>
              <w:top w:val="single" w:sz="4" w:space="0" w:color="000000"/>
              <w:left w:val="single" w:sz="4" w:space="0" w:color="000000"/>
              <w:bottom w:val="single" w:sz="4" w:space="0" w:color="000000"/>
              <w:right w:val="single" w:sz="4" w:space="0" w:color="000000"/>
            </w:tcBorders>
          </w:tcPr>
          <w:p w14:paraId="4EACFA1A" w14:textId="77777777" w:rsidR="00CD4C22" w:rsidRDefault="00CD4C22" w:rsidP="00496FF0"/>
        </w:tc>
      </w:tr>
    </w:tbl>
    <w:p w14:paraId="31C6263D" w14:textId="77777777" w:rsidR="0013097D" w:rsidRDefault="00FF7EAE">
      <w:pPr>
        <w:spacing w:after="103"/>
        <w:ind w:left="29"/>
        <w:rPr>
          <w:rFonts w:ascii="Arial" w:eastAsia="Arial" w:hAnsi="Arial" w:cs="Arial"/>
        </w:rPr>
      </w:pPr>
      <w:r>
        <w:rPr>
          <w:rFonts w:ascii="Arial" w:eastAsia="Arial" w:hAnsi="Arial" w:cs="Arial"/>
        </w:rPr>
        <w:t xml:space="preserve"> </w:t>
      </w:r>
    </w:p>
    <w:p w14:paraId="4C63DD81" w14:textId="77777777" w:rsidR="008A0179" w:rsidRDefault="008A0179" w:rsidP="008A0179">
      <w:pPr>
        <w:spacing w:after="103"/>
      </w:pPr>
    </w:p>
    <w:p w14:paraId="54020004" w14:textId="77777777" w:rsidR="00191B55" w:rsidRDefault="00191B55">
      <w:pPr>
        <w:pStyle w:val="Heading1"/>
        <w:numPr>
          <w:ilvl w:val="0"/>
          <w:numId w:val="0"/>
        </w:numPr>
        <w:ind w:left="91"/>
        <w:rPr>
          <w:rFonts w:ascii="Century Gothic" w:eastAsia="Times New Roman" w:hAnsi="Century Gothic"/>
          <w:b w:val="0"/>
          <w:iCs/>
          <w:color w:val="12273F"/>
          <w:kern w:val="0"/>
          <w:sz w:val="36"/>
          <w:szCs w:val="36"/>
          <w:lang w:eastAsia="en-US"/>
          <w14:ligatures w14:val="none"/>
        </w:rPr>
      </w:pPr>
    </w:p>
    <w:p w14:paraId="5C226699" w14:textId="77777777" w:rsidR="00480E5D" w:rsidRDefault="00480E5D" w:rsidP="004964EE">
      <w:pPr>
        <w:spacing w:after="0"/>
        <w:ind w:left="29"/>
        <w:jc w:val="both"/>
      </w:pPr>
    </w:p>
    <w:sectPr w:rsidR="00480E5D">
      <w:footerReference w:type="even" r:id="rId9"/>
      <w:footerReference w:type="default" r:id="rId10"/>
      <w:footerReference w:type="first" r:id="rId11"/>
      <w:footnotePr>
        <w:numRestart w:val="eachPage"/>
      </w:footnotePr>
      <w:pgSz w:w="11906" w:h="16838"/>
      <w:pgMar w:top="1353" w:right="1116" w:bottom="710" w:left="111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858A0" w14:textId="77777777" w:rsidR="00A86C6C" w:rsidRDefault="00A86C6C">
      <w:pPr>
        <w:spacing w:after="0" w:line="240" w:lineRule="auto"/>
      </w:pPr>
      <w:r>
        <w:separator/>
      </w:r>
    </w:p>
  </w:endnote>
  <w:endnote w:type="continuationSeparator" w:id="0">
    <w:p w14:paraId="60D70126" w14:textId="77777777" w:rsidR="00A86C6C" w:rsidRDefault="00A86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91EF8" w14:textId="77777777" w:rsidR="0013097D" w:rsidRDefault="00FF7EAE">
    <w:pPr>
      <w:spacing w:after="0"/>
      <w:jc w:val="right"/>
    </w:pPr>
    <w:r>
      <w:rPr>
        <w:rFonts w:ascii="Arial" w:eastAsia="Arial" w:hAnsi="Arial" w:cs="Arial"/>
        <w:sz w:val="20"/>
      </w:rPr>
      <w:t xml:space="preserve">Page </w:t>
    </w:r>
    <w:r>
      <w:fldChar w:fldCharType="begin"/>
    </w:r>
    <w:r>
      <w:instrText xml:space="preserve"> PAGE   \* MERGEFORMAT </w:instrText>
    </w:r>
    <w:r>
      <w:fldChar w:fldCharType="separate"/>
    </w:r>
    <w:r>
      <w:rPr>
        <w:rFonts w:ascii="Arial" w:eastAsia="Arial" w:hAnsi="Arial" w:cs="Arial"/>
        <w:b/>
        <w:sz w:val="20"/>
      </w:rPr>
      <w:t>2</w:t>
    </w:r>
    <w:r>
      <w:rPr>
        <w:rFonts w:ascii="Arial" w:eastAsia="Arial" w:hAnsi="Arial" w:cs="Arial"/>
        <w:b/>
        <w:sz w:val="20"/>
      </w:rPr>
      <w:fldChar w:fldCharType="end"/>
    </w:r>
    <w:r>
      <w:rPr>
        <w:rFonts w:ascii="Arial" w:eastAsia="Arial" w:hAnsi="Arial" w:cs="Arial"/>
        <w:sz w:val="20"/>
      </w:rPr>
      <w:t xml:space="preserve"> of </w:t>
    </w:r>
    <w:fldSimple w:instr=" NUMPAGES   \* MERGEFORMAT ">
      <w:r>
        <w:rPr>
          <w:rFonts w:ascii="Arial" w:eastAsia="Arial" w:hAnsi="Arial" w:cs="Arial"/>
          <w:b/>
          <w:sz w:val="20"/>
        </w:rPr>
        <w:t>5</w:t>
      </w:r>
    </w:fldSimple>
    <w:r>
      <w:rPr>
        <w:rFonts w:ascii="Arial" w:eastAsia="Arial" w:hAnsi="Arial" w:cs="Arial"/>
        <w:sz w:val="20"/>
      </w:rPr>
      <w:t xml:space="preserve"> </w:t>
    </w:r>
  </w:p>
  <w:p w14:paraId="0D95FF84" w14:textId="77777777" w:rsidR="0013097D" w:rsidRDefault="00FF7EAE">
    <w:pPr>
      <w:spacing w:after="0"/>
      <w:ind w:left="29"/>
    </w:pPr>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6CD09" w14:textId="77777777" w:rsidR="0013097D" w:rsidRDefault="00FF7EAE">
    <w:pPr>
      <w:spacing w:after="0"/>
      <w:jc w:val="right"/>
    </w:pPr>
    <w:r>
      <w:rPr>
        <w:rFonts w:ascii="Arial" w:eastAsia="Arial" w:hAnsi="Arial" w:cs="Arial"/>
        <w:sz w:val="20"/>
      </w:rPr>
      <w:t xml:space="preserve">Page </w:t>
    </w:r>
    <w:r>
      <w:fldChar w:fldCharType="begin"/>
    </w:r>
    <w:r>
      <w:instrText xml:space="preserve"> PAGE   \* MERGEFORMAT </w:instrText>
    </w:r>
    <w:r>
      <w:fldChar w:fldCharType="separate"/>
    </w:r>
    <w:r>
      <w:rPr>
        <w:rFonts w:ascii="Arial" w:eastAsia="Arial" w:hAnsi="Arial" w:cs="Arial"/>
        <w:b/>
        <w:sz w:val="20"/>
      </w:rPr>
      <w:t>2</w:t>
    </w:r>
    <w:r>
      <w:rPr>
        <w:rFonts w:ascii="Arial" w:eastAsia="Arial" w:hAnsi="Arial" w:cs="Arial"/>
        <w:b/>
        <w:sz w:val="20"/>
      </w:rPr>
      <w:fldChar w:fldCharType="end"/>
    </w:r>
    <w:r>
      <w:rPr>
        <w:rFonts w:ascii="Arial" w:eastAsia="Arial" w:hAnsi="Arial" w:cs="Arial"/>
        <w:sz w:val="20"/>
      </w:rPr>
      <w:t xml:space="preserve"> of </w:t>
    </w:r>
    <w:fldSimple w:instr=" NUMPAGES   \* MERGEFORMAT ">
      <w:r>
        <w:rPr>
          <w:rFonts w:ascii="Arial" w:eastAsia="Arial" w:hAnsi="Arial" w:cs="Arial"/>
          <w:b/>
          <w:sz w:val="20"/>
        </w:rPr>
        <w:t>5</w:t>
      </w:r>
    </w:fldSimple>
    <w:r>
      <w:rPr>
        <w:rFonts w:ascii="Arial" w:eastAsia="Arial" w:hAnsi="Arial" w:cs="Arial"/>
        <w:sz w:val="20"/>
      </w:rPr>
      <w:t xml:space="preserve"> </w:t>
    </w:r>
  </w:p>
  <w:p w14:paraId="72B4BFA9" w14:textId="77777777" w:rsidR="0013097D" w:rsidRDefault="00FF7EAE">
    <w:pPr>
      <w:spacing w:after="0"/>
      <w:ind w:left="29"/>
    </w:pPr>
    <w:r>
      <w:rPr>
        <w:rFonts w:ascii="Arial" w:eastAsia="Arial" w:hAnsi="Arial"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E5066" w14:textId="77777777" w:rsidR="0013097D" w:rsidRDefault="001309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F5855" w14:textId="77777777" w:rsidR="00A86C6C" w:rsidRDefault="00A86C6C">
      <w:pPr>
        <w:spacing w:after="0" w:line="243" w:lineRule="auto"/>
        <w:ind w:left="29"/>
      </w:pPr>
      <w:r>
        <w:separator/>
      </w:r>
    </w:p>
  </w:footnote>
  <w:footnote w:type="continuationSeparator" w:id="0">
    <w:p w14:paraId="0ED9C28A" w14:textId="77777777" w:rsidR="00A86C6C" w:rsidRDefault="00A86C6C">
      <w:pPr>
        <w:spacing w:after="0" w:line="243" w:lineRule="auto"/>
        <w:ind w:left="29"/>
      </w:pPr>
      <w:r>
        <w:continuationSeparator/>
      </w:r>
    </w:p>
  </w:footnote>
  <w:footnote w:id="1">
    <w:p w14:paraId="1EBFE0D0" w14:textId="77777777" w:rsidR="001F21C1" w:rsidRDefault="001F21C1" w:rsidP="001F21C1">
      <w:pPr>
        <w:pStyle w:val="FootnoteText"/>
        <w:tabs>
          <w:tab w:val="left" w:pos="340"/>
        </w:tabs>
        <w:ind w:left="340" w:hanging="340"/>
      </w:pPr>
      <w:r>
        <w:rPr>
          <w:rStyle w:val="FootnoteReference"/>
        </w:rPr>
        <w:footnoteRef/>
      </w:r>
      <w:r>
        <w:t xml:space="preserve"> </w:t>
      </w:r>
      <w:r>
        <w:tab/>
      </w:r>
      <w:hyperlink r:id="rId1" w:history="1">
        <w:r w:rsidRPr="00C151EE">
          <w:rPr>
            <w:rStyle w:val="Hyperlink"/>
          </w:rPr>
          <w:t>https://www.prarulebook.co.uk/</w:t>
        </w:r>
      </w:hyperlink>
      <w:r>
        <w:t xml:space="preserve"> </w:t>
      </w:r>
    </w:p>
  </w:footnote>
  <w:footnote w:id="2">
    <w:p w14:paraId="2E7E7856" w14:textId="7317F6CD" w:rsidR="003C6DA9" w:rsidRDefault="003C6DA9">
      <w:pPr>
        <w:pStyle w:val="FootnoteText"/>
      </w:pPr>
      <w:r>
        <w:rPr>
          <w:rStyle w:val="FootnoteReference"/>
        </w:rPr>
        <w:footnoteRef/>
      </w:r>
      <w:r>
        <w:t xml:space="preserve"> </w:t>
      </w:r>
      <w:hyperlink r:id="rId2" w:history="1">
        <w:r w:rsidR="00C02B84" w:rsidRPr="005D323F">
          <w:rPr>
            <w:rStyle w:val="Hyperlink"/>
          </w:rPr>
          <w:t>https://www.bankofengland.co.uk/prudential-regulation/publication/2024/november/solvency-ii-volatility-adjustment-permissions-sop</w:t>
        </w:r>
      </w:hyperlink>
      <w:r w:rsidR="00C02B84">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F1127"/>
    <w:multiLevelType w:val="hybridMultilevel"/>
    <w:tmpl w:val="7A6AA9C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435129D3"/>
    <w:multiLevelType w:val="hybridMultilevel"/>
    <w:tmpl w:val="7F5EA29A"/>
    <w:lvl w:ilvl="0" w:tplc="5DE6DDC6">
      <w:start w:val="100"/>
      <w:numFmt w:val="upperRoman"/>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1D22396">
      <w:start w:val="1"/>
      <w:numFmt w:val="lowerLetter"/>
      <w:lvlText w:val="%2"/>
      <w:lvlJc w:val="left"/>
      <w:pPr>
        <w:ind w:left="11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64ED386">
      <w:start w:val="1"/>
      <w:numFmt w:val="lowerRoman"/>
      <w:lvlText w:val="%3"/>
      <w:lvlJc w:val="left"/>
      <w:pPr>
        <w:ind w:left="18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F9098AC">
      <w:start w:val="1"/>
      <w:numFmt w:val="decimal"/>
      <w:lvlText w:val="%4"/>
      <w:lvlJc w:val="left"/>
      <w:pPr>
        <w:ind w:left="25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9A29CFE">
      <w:start w:val="1"/>
      <w:numFmt w:val="lowerLetter"/>
      <w:lvlText w:val="%5"/>
      <w:lvlJc w:val="left"/>
      <w:pPr>
        <w:ind w:left="33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F76F666">
      <w:start w:val="1"/>
      <w:numFmt w:val="lowerRoman"/>
      <w:lvlText w:val="%6"/>
      <w:lvlJc w:val="left"/>
      <w:pPr>
        <w:ind w:left="40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3E02FD6">
      <w:start w:val="1"/>
      <w:numFmt w:val="decimal"/>
      <w:lvlText w:val="%7"/>
      <w:lvlJc w:val="left"/>
      <w:pPr>
        <w:ind w:left="47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AE0E098">
      <w:start w:val="1"/>
      <w:numFmt w:val="lowerLetter"/>
      <w:lvlText w:val="%8"/>
      <w:lvlJc w:val="left"/>
      <w:pPr>
        <w:ind w:left="54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8004792">
      <w:start w:val="1"/>
      <w:numFmt w:val="lowerRoman"/>
      <w:lvlText w:val="%9"/>
      <w:lvlJc w:val="left"/>
      <w:pPr>
        <w:ind w:left="61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16cid:durableId="1380975416">
    <w:abstractNumId w:val="1"/>
  </w:num>
  <w:num w:numId="2" w16cid:durableId="2125923466">
    <w:abstractNumId w:val="1"/>
  </w:num>
  <w:num w:numId="3" w16cid:durableId="1195508944">
    <w:abstractNumId w:val="1"/>
  </w:num>
  <w:num w:numId="4" w16cid:durableId="1136415767">
    <w:abstractNumId w:val="1"/>
  </w:num>
  <w:num w:numId="5" w16cid:durableId="852381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97D"/>
    <w:rsid w:val="000B4322"/>
    <w:rsid w:val="0013097D"/>
    <w:rsid w:val="00191B55"/>
    <w:rsid w:val="001A7D1E"/>
    <w:rsid w:val="001E1A7E"/>
    <w:rsid w:val="001F21C1"/>
    <w:rsid w:val="00251046"/>
    <w:rsid w:val="002C72CB"/>
    <w:rsid w:val="00340473"/>
    <w:rsid w:val="003C6DA9"/>
    <w:rsid w:val="00480E5D"/>
    <w:rsid w:val="004964EE"/>
    <w:rsid w:val="00496FF0"/>
    <w:rsid w:val="00576342"/>
    <w:rsid w:val="00592859"/>
    <w:rsid w:val="005C5790"/>
    <w:rsid w:val="005D7671"/>
    <w:rsid w:val="005F23FD"/>
    <w:rsid w:val="00600860"/>
    <w:rsid w:val="006519B7"/>
    <w:rsid w:val="007047AF"/>
    <w:rsid w:val="007627E3"/>
    <w:rsid w:val="007B7BA5"/>
    <w:rsid w:val="007C59F6"/>
    <w:rsid w:val="007E182F"/>
    <w:rsid w:val="00871993"/>
    <w:rsid w:val="008A0179"/>
    <w:rsid w:val="008F2E99"/>
    <w:rsid w:val="00923115"/>
    <w:rsid w:val="0099749B"/>
    <w:rsid w:val="00997E75"/>
    <w:rsid w:val="00A07E61"/>
    <w:rsid w:val="00A86C6C"/>
    <w:rsid w:val="00AE1D13"/>
    <w:rsid w:val="00AE6054"/>
    <w:rsid w:val="00B307C4"/>
    <w:rsid w:val="00B94474"/>
    <w:rsid w:val="00C02B84"/>
    <w:rsid w:val="00C55FA6"/>
    <w:rsid w:val="00C93A84"/>
    <w:rsid w:val="00CD4C22"/>
    <w:rsid w:val="00D15E09"/>
    <w:rsid w:val="00D30F96"/>
    <w:rsid w:val="00D47260"/>
    <w:rsid w:val="00D76D36"/>
    <w:rsid w:val="00D97D86"/>
    <w:rsid w:val="00DB29B3"/>
    <w:rsid w:val="00DD5932"/>
    <w:rsid w:val="00E1421C"/>
    <w:rsid w:val="00E23C5D"/>
    <w:rsid w:val="00E91AE9"/>
    <w:rsid w:val="00EF294F"/>
    <w:rsid w:val="00F1419D"/>
    <w:rsid w:val="00F219EE"/>
    <w:rsid w:val="00F24FD4"/>
    <w:rsid w:val="00F53C9E"/>
    <w:rsid w:val="00FA6D54"/>
    <w:rsid w:val="00FF7E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4FBAE"/>
  <w15:docId w15:val="{8883B7F4-CF10-4374-BF62-44311B692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numPr>
        <w:numId w:val="1"/>
      </w:numPr>
      <w:spacing w:after="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customStyle="1" w:styleId="footnotedescription">
    <w:name w:val="footnote description"/>
    <w:next w:val="Normal"/>
    <w:link w:val="footnotedescriptionChar"/>
    <w:hidden/>
    <w:pPr>
      <w:spacing w:after="0" w:line="243" w:lineRule="auto"/>
      <w:ind w:left="29"/>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rsid w:val="00C55FA6"/>
    <w:rPr>
      <w:b/>
      <w:color w:val="44546A" w:themeColor="text2"/>
      <w:u w:val="single" w:color="3CD7D8"/>
    </w:rPr>
  </w:style>
  <w:style w:type="paragraph" w:styleId="FootnoteText">
    <w:name w:val="footnote text"/>
    <w:basedOn w:val="Normal"/>
    <w:link w:val="FootnoteTextChar"/>
    <w:uiPriority w:val="99"/>
    <w:semiHidden/>
    <w:rsid w:val="00C55FA6"/>
    <w:pPr>
      <w:spacing w:after="0" w:line="300" w:lineRule="auto"/>
    </w:pPr>
    <w:rPr>
      <w:rFonts w:ascii="Arial" w:eastAsia="Times New Roman" w:hAnsi="Arial" w:cs="Times New Roman"/>
      <w:color w:val="auto"/>
      <w:kern w:val="0"/>
      <w:sz w:val="20"/>
      <w:szCs w:val="20"/>
      <w14:ligatures w14:val="none"/>
    </w:rPr>
  </w:style>
  <w:style w:type="character" w:customStyle="1" w:styleId="FootnoteTextChar">
    <w:name w:val="Footnote Text Char"/>
    <w:basedOn w:val="DefaultParagraphFont"/>
    <w:link w:val="FootnoteText"/>
    <w:uiPriority w:val="99"/>
    <w:semiHidden/>
    <w:rsid w:val="00C55FA6"/>
    <w:rPr>
      <w:rFonts w:ascii="Arial" w:eastAsia="Times New Roman" w:hAnsi="Arial" w:cs="Times New Roman"/>
      <w:kern w:val="0"/>
      <w:sz w:val="20"/>
      <w:szCs w:val="20"/>
      <w14:ligatures w14:val="none"/>
    </w:rPr>
  </w:style>
  <w:style w:type="character" w:styleId="FootnoteReference">
    <w:name w:val="footnote reference"/>
    <w:basedOn w:val="DefaultParagraphFont"/>
    <w:uiPriority w:val="99"/>
    <w:semiHidden/>
    <w:rsid w:val="00C55FA6"/>
    <w:rPr>
      <w:vertAlign w:val="superscript"/>
    </w:rPr>
  </w:style>
  <w:style w:type="character" w:styleId="CommentReference">
    <w:name w:val="annotation reference"/>
    <w:basedOn w:val="DefaultParagraphFont"/>
    <w:uiPriority w:val="99"/>
    <w:semiHidden/>
    <w:rsid w:val="00C55FA6"/>
    <w:rPr>
      <w:sz w:val="16"/>
      <w:szCs w:val="16"/>
    </w:rPr>
  </w:style>
  <w:style w:type="paragraph" w:styleId="CommentText">
    <w:name w:val="annotation text"/>
    <w:basedOn w:val="Normal"/>
    <w:link w:val="CommentTextChar"/>
    <w:uiPriority w:val="99"/>
    <w:semiHidden/>
    <w:rsid w:val="00C55FA6"/>
    <w:pPr>
      <w:spacing w:after="260" w:line="240" w:lineRule="auto"/>
    </w:pPr>
    <w:rPr>
      <w:rFonts w:ascii="Arial" w:eastAsia="Times New Roman" w:hAnsi="Arial" w:cs="Times New Roman"/>
      <w:color w:val="auto"/>
      <w:kern w:val="0"/>
      <w:sz w:val="20"/>
      <w:szCs w:val="20"/>
      <w14:ligatures w14:val="none"/>
    </w:rPr>
  </w:style>
  <w:style w:type="character" w:customStyle="1" w:styleId="CommentTextChar">
    <w:name w:val="Comment Text Char"/>
    <w:basedOn w:val="DefaultParagraphFont"/>
    <w:link w:val="CommentText"/>
    <w:uiPriority w:val="99"/>
    <w:semiHidden/>
    <w:rsid w:val="00C55FA6"/>
    <w:rPr>
      <w:rFonts w:ascii="Arial" w:eastAsia="Times New Roman" w:hAnsi="Arial" w:cs="Times New Roman"/>
      <w:kern w:val="0"/>
      <w:sz w:val="20"/>
      <w:szCs w:val="20"/>
      <w14:ligatures w14:val="none"/>
    </w:rPr>
  </w:style>
  <w:style w:type="character" w:styleId="UnresolvedMention">
    <w:name w:val="Unresolved Mention"/>
    <w:basedOn w:val="DefaultParagraphFont"/>
    <w:uiPriority w:val="99"/>
    <w:semiHidden/>
    <w:unhideWhenUsed/>
    <w:rsid w:val="00C55FA6"/>
    <w:rPr>
      <w:color w:val="605E5C"/>
      <w:shd w:val="clear" w:color="auto" w:fill="E1DFDD"/>
    </w:rPr>
  </w:style>
  <w:style w:type="paragraph" w:styleId="Revision">
    <w:name w:val="Revision"/>
    <w:hidden/>
    <w:uiPriority w:val="99"/>
    <w:semiHidden/>
    <w:rsid w:val="00600860"/>
    <w:pPr>
      <w:spacing w:after="0" w:line="240" w:lineRule="auto"/>
    </w:pPr>
    <w:rPr>
      <w:rFonts w:ascii="Calibri" w:eastAsia="Calibri" w:hAnsi="Calibri" w:cs="Calibri"/>
      <w:color w:val="000000"/>
    </w:rPr>
  </w:style>
  <w:style w:type="character" w:styleId="PlaceholderText">
    <w:name w:val="Placeholder Text"/>
    <w:basedOn w:val="DefaultParagraphFont"/>
    <w:uiPriority w:val="99"/>
    <w:semiHidden/>
    <w:rsid w:val="00496FF0"/>
    <w:rPr>
      <w:color w:val="808080"/>
    </w:rPr>
  </w:style>
  <w:style w:type="paragraph" w:styleId="CommentSubject">
    <w:name w:val="annotation subject"/>
    <w:basedOn w:val="CommentText"/>
    <w:next w:val="CommentText"/>
    <w:link w:val="CommentSubjectChar"/>
    <w:uiPriority w:val="99"/>
    <w:semiHidden/>
    <w:unhideWhenUsed/>
    <w:rsid w:val="0099749B"/>
    <w:pPr>
      <w:spacing w:after="160"/>
    </w:pPr>
    <w:rPr>
      <w:rFonts w:ascii="Calibri" w:eastAsia="Calibri" w:hAnsi="Calibri" w:cs="Calibri"/>
      <w:b/>
      <w:bCs/>
      <w:color w:val="000000"/>
      <w:kern w:val="2"/>
      <w14:ligatures w14:val="standardContextual"/>
    </w:rPr>
  </w:style>
  <w:style w:type="character" w:customStyle="1" w:styleId="CommentSubjectChar">
    <w:name w:val="Comment Subject Char"/>
    <w:basedOn w:val="CommentTextChar"/>
    <w:link w:val="CommentSubject"/>
    <w:uiPriority w:val="99"/>
    <w:semiHidden/>
    <w:rsid w:val="0099749B"/>
    <w:rPr>
      <w:rFonts w:ascii="Calibri" w:eastAsia="Calibri" w:hAnsi="Calibri" w:cs="Calibri"/>
      <w:b/>
      <w:bCs/>
      <w:color w:val="000000"/>
      <w:kern w:val="0"/>
      <w:sz w:val="20"/>
      <w:szCs w:val="20"/>
      <w14:ligatures w14:val="none"/>
    </w:rPr>
  </w:style>
  <w:style w:type="table" w:styleId="TableGrid0">
    <w:name w:val="Table Grid"/>
    <w:basedOn w:val="TableNormal"/>
    <w:uiPriority w:val="59"/>
    <w:rsid w:val="008A0179"/>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4322"/>
    <w:pPr>
      <w:ind w:left="720"/>
      <w:contextualSpacing/>
    </w:pPr>
  </w:style>
  <w:style w:type="character" w:styleId="FollowedHyperlink">
    <w:name w:val="FollowedHyperlink"/>
    <w:basedOn w:val="DefaultParagraphFont"/>
    <w:uiPriority w:val="99"/>
    <w:semiHidden/>
    <w:unhideWhenUsed/>
    <w:rsid w:val="009231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299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A-Waivers@bankofengland.co.uk"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bankofengland.co.uk/prudential-regulation/publication/2024/november/solvency-ii-volatility-adjustment-permissions-sop" TargetMode="External"/><Relationship Id="rId1" Type="http://schemas.openxmlformats.org/officeDocument/2006/relationships/hyperlink" Target="https://www.prarulebook.co.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EC086518BF40F1A58F394C5E43D492"/>
        <w:category>
          <w:name w:val="General"/>
          <w:gallery w:val="placeholder"/>
        </w:category>
        <w:types>
          <w:type w:val="bbPlcHdr"/>
        </w:types>
        <w:behaviors>
          <w:behavior w:val="content"/>
        </w:behaviors>
        <w:guid w:val="{D073DE33-3D20-4141-9EDD-70383646585A}"/>
      </w:docPartPr>
      <w:docPartBody>
        <w:p w:rsidR="00251EEC" w:rsidRDefault="004C608A" w:rsidP="004C608A">
          <w:pPr>
            <w:pStyle w:val="ECEC086518BF40F1A58F394C5E43D492"/>
          </w:pPr>
          <w:r w:rsidRPr="00E01814">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2D2"/>
    <w:rsid w:val="000F48CD"/>
    <w:rsid w:val="00251EEC"/>
    <w:rsid w:val="002D7BB9"/>
    <w:rsid w:val="003345EB"/>
    <w:rsid w:val="004C608A"/>
    <w:rsid w:val="00706729"/>
    <w:rsid w:val="007762D2"/>
    <w:rsid w:val="008745D5"/>
    <w:rsid w:val="00AF3A55"/>
    <w:rsid w:val="00B17287"/>
    <w:rsid w:val="00BA56B7"/>
    <w:rsid w:val="00DB1654"/>
    <w:rsid w:val="00EE22D1"/>
    <w:rsid w:val="00F46FDF"/>
    <w:rsid w:val="00F65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1EEC"/>
  </w:style>
  <w:style w:type="paragraph" w:customStyle="1" w:styleId="ECEC086518BF40F1A58F394C5E43D492">
    <w:name w:val="ECEC086518BF40F1A58F394C5E43D492"/>
    <w:rsid w:val="004C60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80E22-D665-4C58-B5E8-E3CDD1EC2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Supplementary information for applications to use ancillary own fund items</vt:lpstr>
    </vt:vector>
  </TitlesOfParts>
  <Company>Bank of England</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information for applications to use ancillary own fund items</dc:title>
  <dc:subject>Supplementary information for applications to use ancillary own fund items</dc:subject>
  <dc:creator>Bank of England</dc:creator>
  <cp:keywords/>
  <cp:lastModifiedBy>Tsang, Tristan</cp:lastModifiedBy>
  <cp:revision>2</cp:revision>
  <dcterms:created xsi:type="dcterms:W3CDTF">2024-11-19T11:54:00Z</dcterms:created>
  <dcterms:modified xsi:type="dcterms:W3CDTF">2024-11-19T11:54:00Z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-1917222375</vt:i4>
  </property>
  <property fmtid="{D5CDD505-2E9C-101B-9397-08002B2CF9AE}" pid="3" name="_NewReviewCycle">
    <vt:lpwstr/>
  </property>
  <property fmtid="{D5CDD505-2E9C-101B-9397-08002B2CF9AE}" pid="4" name="_EmailSubject">
    <vt:lpwstr>Webpage updates to waivers team 15 Nov publication package</vt:lpwstr>
  </property>
  <property fmtid="{D5CDD505-2E9C-101B-9397-08002B2CF9AE}" pid="5" name="_AuthorEmail">
    <vt:lpwstr>Tristan.Tsang@bankofengland.co.uk</vt:lpwstr>
  </property>
  <property fmtid="{D5CDD505-2E9C-101B-9397-08002B2CF9AE}" pid="6" name="_AuthorEmailDisplayName">
    <vt:lpwstr>Tsang, Tristan</vt:lpwstr>
  </property>
  <property fmtid="{D5CDD505-2E9C-101B-9397-08002B2CF9AE}" pid="8" name="_PreviousAdHocReviewCycleID">
    <vt:i4>1760403213</vt:i4>
  </property>
</Properties>
</file>