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38BCE" w14:textId="379E2EF3" w:rsidR="00D25D89" w:rsidRPr="00D25D89" w:rsidRDefault="00D25D89" w:rsidP="00B07D70">
      <w:pPr>
        <w:pStyle w:val="Heading1"/>
        <w:rPr>
          <w:b w:val="0"/>
          <w:bCs/>
          <w:color w:val="000000" w:themeColor="text1"/>
          <w:sz w:val="28"/>
        </w:rPr>
      </w:pPr>
      <w:r w:rsidRPr="000770FE">
        <w:rPr>
          <w:rStyle w:val="cf01"/>
          <w:bCs/>
          <w:sz w:val="32"/>
          <w:szCs w:val="32"/>
          <w:lang w:eastAsia="en-GB"/>
        </w:rPr>
        <w:t xml:space="preserve">Internal Model Application </w:t>
      </w:r>
      <w:r w:rsidR="00985A7A">
        <w:rPr>
          <w:rStyle w:val="cf01"/>
          <w:bCs/>
          <w:sz w:val="32"/>
          <w:szCs w:val="32"/>
        </w:rPr>
        <w:t xml:space="preserve">and Internal Model Ongoing Review </w:t>
      </w:r>
      <w:r w:rsidR="00E804EA" w:rsidRPr="00B7115B">
        <w:rPr>
          <w:rStyle w:val="cf01"/>
          <w:bCs/>
          <w:sz w:val="32"/>
          <w:szCs w:val="32"/>
        </w:rPr>
        <w:t>Process</w:t>
      </w:r>
      <w:r w:rsidR="00381201">
        <w:rPr>
          <w:rStyle w:val="cf01"/>
          <w:bCs/>
          <w:sz w:val="32"/>
          <w:szCs w:val="32"/>
        </w:rPr>
        <w:t>es</w:t>
      </w:r>
      <w:r w:rsidR="00E804EA" w:rsidRPr="00B7115B">
        <w:rPr>
          <w:rStyle w:val="cf01"/>
          <w:bCs/>
          <w:sz w:val="32"/>
          <w:szCs w:val="32"/>
        </w:rPr>
        <w:t xml:space="preserve"> </w:t>
      </w:r>
      <w:r w:rsidRPr="000770FE">
        <w:rPr>
          <w:rStyle w:val="cf01"/>
          <w:bCs/>
          <w:sz w:val="32"/>
          <w:szCs w:val="32"/>
          <w:lang w:eastAsia="en-GB"/>
        </w:rPr>
        <w:t xml:space="preserve">Practitioner Q&amp;A </w:t>
      </w:r>
      <w:bookmarkStart w:id="0" w:name="_Hlk173225650"/>
    </w:p>
    <w:p w14:paraId="7930CBE6" w14:textId="3F6AFFBF" w:rsidR="00CB6EF6" w:rsidRPr="00B07D70" w:rsidRDefault="00CB6EF6" w:rsidP="00B07D70">
      <w:pPr>
        <w:spacing w:after="260" w:line="300" w:lineRule="auto"/>
        <w:rPr>
          <w:rFonts w:eastAsia="Times New Roman" w:cs="Times New Roman"/>
          <w:sz w:val="24"/>
          <w:szCs w:val="22"/>
          <w14:ligatures w14:val="none"/>
        </w:rPr>
      </w:pPr>
      <w:r w:rsidRPr="00B07D70">
        <w:rPr>
          <w:rFonts w:eastAsia="Times New Roman" w:cs="Times New Roman"/>
          <w:sz w:val="24"/>
          <w:szCs w:val="22"/>
          <w14:ligatures w14:val="none"/>
        </w:rPr>
        <w:t xml:space="preserve">This Q&amp;A provides practical information </w:t>
      </w:r>
      <w:r w:rsidR="002D57A7" w:rsidRPr="00B07D70">
        <w:rPr>
          <w:rFonts w:eastAsia="Times New Roman" w:cs="Times New Roman"/>
          <w:sz w:val="24"/>
          <w:szCs w:val="22"/>
          <w14:ligatures w14:val="none"/>
        </w:rPr>
        <w:t xml:space="preserve">for practitioners planning to submit an </w:t>
      </w:r>
      <w:r w:rsidR="00A024AB" w:rsidRPr="00B07D70">
        <w:rPr>
          <w:rFonts w:eastAsia="Times New Roman" w:cs="Times New Roman"/>
          <w:sz w:val="24"/>
          <w:szCs w:val="22"/>
          <w14:ligatures w14:val="none"/>
        </w:rPr>
        <w:t>I</w:t>
      </w:r>
      <w:r w:rsidR="00440861" w:rsidRPr="00B07D70">
        <w:rPr>
          <w:rFonts w:eastAsia="Times New Roman" w:cs="Times New Roman"/>
          <w:sz w:val="24"/>
          <w:szCs w:val="22"/>
          <w14:ligatures w14:val="none"/>
        </w:rPr>
        <w:t xml:space="preserve">nternal </w:t>
      </w:r>
      <w:r w:rsidR="00A024AB" w:rsidRPr="00B07D70">
        <w:rPr>
          <w:rFonts w:eastAsia="Times New Roman" w:cs="Times New Roman"/>
          <w:sz w:val="24"/>
          <w:szCs w:val="22"/>
          <w14:ligatures w14:val="none"/>
        </w:rPr>
        <w:t>M</w:t>
      </w:r>
      <w:r w:rsidR="00440861" w:rsidRPr="00B07D70">
        <w:rPr>
          <w:rFonts w:eastAsia="Times New Roman" w:cs="Times New Roman"/>
          <w:sz w:val="24"/>
          <w:szCs w:val="22"/>
          <w14:ligatures w14:val="none"/>
        </w:rPr>
        <w:t>odel</w:t>
      </w:r>
      <w:r w:rsidR="00D137CA" w:rsidRPr="00B07D70">
        <w:rPr>
          <w:rFonts w:eastAsia="Times New Roman" w:cs="Times New Roman"/>
          <w:sz w:val="24"/>
          <w:szCs w:val="22"/>
          <w14:ligatures w14:val="none"/>
        </w:rPr>
        <w:t xml:space="preserve"> </w:t>
      </w:r>
      <w:r w:rsidR="002D57A7" w:rsidRPr="00B07D70">
        <w:rPr>
          <w:rFonts w:eastAsia="Times New Roman" w:cs="Times New Roman"/>
          <w:sz w:val="24"/>
          <w:szCs w:val="22"/>
          <w14:ligatures w14:val="none"/>
        </w:rPr>
        <w:t xml:space="preserve">application </w:t>
      </w:r>
      <w:r w:rsidR="00424F7B" w:rsidRPr="00B07D70">
        <w:rPr>
          <w:rFonts w:eastAsia="Times New Roman" w:cs="Times New Roman"/>
          <w:sz w:val="24"/>
          <w:szCs w:val="22"/>
          <w14:ligatures w14:val="none"/>
        </w:rPr>
        <w:t>and/or engage with the Internal Model Ongoing Review</w:t>
      </w:r>
      <w:r w:rsidR="00017CC5" w:rsidRPr="00B07D70">
        <w:rPr>
          <w:rFonts w:eastAsia="Times New Roman" w:cs="Times New Roman"/>
          <w:sz w:val="24"/>
          <w:szCs w:val="22"/>
          <w14:ligatures w14:val="none"/>
        </w:rPr>
        <w:t xml:space="preserve"> (IMOR)</w:t>
      </w:r>
      <w:r w:rsidR="00424F7B" w:rsidRPr="00B07D70">
        <w:rPr>
          <w:rFonts w:eastAsia="Times New Roman" w:cs="Times New Roman"/>
          <w:sz w:val="24"/>
          <w:szCs w:val="22"/>
          <w14:ligatures w14:val="none"/>
        </w:rPr>
        <w:t xml:space="preserve"> framework</w:t>
      </w:r>
      <w:r w:rsidRPr="00B07D70">
        <w:rPr>
          <w:rFonts w:eastAsia="Times New Roman" w:cs="Times New Roman"/>
          <w:sz w:val="24"/>
          <w:szCs w:val="22"/>
          <w14:ligatures w14:val="none"/>
        </w:rPr>
        <w:t xml:space="preserve">. It should be read in conjunction with the </w:t>
      </w:r>
      <w:r w:rsidR="00B07D70">
        <w:rPr>
          <w:rFonts w:eastAsia="Times New Roman" w:cs="Times New Roman"/>
          <w:sz w:val="24"/>
          <w:szCs w:val="22"/>
          <w14:ligatures w14:val="none"/>
        </w:rPr>
        <w:t>s</w:t>
      </w:r>
      <w:r w:rsidRPr="00B07D70">
        <w:rPr>
          <w:rFonts w:eastAsia="Times New Roman" w:cs="Times New Roman"/>
          <w:sz w:val="24"/>
          <w:szCs w:val="22"/>
          <w14:ligatures w14:val="none"/>
        </w:rPr>
        <w:t xml:space="preserve">tatement of </w:t>
      </w:r>
      <w:r w:rsidR="00B07D70">
        <w:rPr>
          <w:rFonts w:eastAsia="Times New Roman" w:cs="Times New Roman"/>
          <w:sz w:val="24"/>
          <w:szCs w:val="22"/>
          <w14:ligatures w14:val="none"/>
        </w:rPr>
        <w:t>p</w:t>
      </w:r>
      <w:r w:rsidRPr="00B07D70">
        <w:rPr>
          <w:rFonts w:eastAsia="Times New Roman" w:cs="Times New Roman"/>
          <w:sz w:val="24"/>
          <w:szCs w:val="22"/>
          <w14:ligatures w14:val="none"/>
        </w:rPr>
        <w:t>olic</w:t>
      </w:r>
      <w:r w:rsidR="00B837C4" w:rsidRPr="00B07D70">
        <w:rPr>
          <w:rFonts w:eastAsia="Times New Roman" w:cs="Times New Roman"/>
          <w:sz w:val="24"/>
          <w:szCs w:val="22"/>
          <w14:ligatures w14:val="none"/>
        </w:rPr>
        <w:t>ies</w:t>
      </w:r>
      <w:r w:rsidRPr="00B07D70">
        <w:rPr>
          <w:rFonts w:eastAsia="Times New Roman" w:cs="Times New Roman"/>
          <w:sz w:val="24"/>
          <w:szCs w:val="22"/>
          <w14:ligatures w14:val="none"/>
        </w:rPr>
        <w:t xml:space="preserve"> </w:t>
      </w:r>
      <w:r w:rsidR="00A024AB" w:rsidRPr="00B07D70">
        <w:rPr>
          <w:rFonts w:eastAsia="Times New Roman" w:cs="Times New Roman"/>
          <w:sz w:val="24"/>
          <w:szCs w:val="22"/>
          <w14:ligatures w14:val="none"/>
        </w:rPr>
        <w:t xml:space="preserve">(SoPs) </w:t>
      </w:r>
      <w:r w:rsidR="006B1095" w:rsidRPr="00B07D70">
        <w:rPr>
          <w:rFonts w:eastAsia="Times New Roman" w:cs="Times New Roman"/>
          <w:sz w:val="24"/>
          <w:szCs w:val="22"/>
          <w14:ligatures w14:val="none"/>
        </w:rPr>
        <w:t>-</w:t>
      </w:r>
      <w:r w:rsidRPr="00B07D70">
        <w:rPr>
          <w:rFonts w:eastAsia="Times New Roman" w:cs="Times New Roman"/>
          <w:sz w:val="24"/>
          <w:szCs w:val="22"/>
          <w14:ligatures w14:val="none"/>
        </w:rPr>
        <w:t xml:space="preserve"> Solvency II</w:t>
      </w:r>
      <w:r w:rsidR="00B837C4" w:rsidRPr="00B07D70">
        <w:rPr>
          <w:rFonts w:eastAsia="Times New Roman" w:cs="Times New Roman"/>
          <w:sz w:val="24"/>
          <w:szCs w:val="22"/>
          <w14:ligatures w14:val="none"/>
        </w:rPr>
        <w:t xml:space="preserve"> internal models</w:t>
      </w:r>
      <w:r w:rsidRPr="00B07D70">
        <w:rPr>
          <w:rFonts w:eastAsia="Times New Roman" w:cs="Times New Roman"/>
          <w:sz w:val="24"/>
          <w:szCs w:val="22"/>
          <w14:ligatures w14:val="none"/>
        </w:rPr>
        <w:t xml:space="preserve">: </w:t>
      </w:r>
      <w:r w:rsidR="00B837C4" w:rsidRPr="00B07D70">
        <w:rPr>
          <w:rFonts w:eastAsia="Times New Roman" w:cs="Times New Roman"/>
          <w:sz w:val="24"/>
          <w:szCs w:val="22"/>
          <w14:ligatures w14:val="none"/>
        </w:rPr>
        <w:t>Permissions and ongoing monitoring</w:t>
      </w:r>
      <w:r w:rsidR="00B07D70">
        <w:rPr>
          <w:rFonts w:eastAsia="Times New Roman" w:cs="Times New Roman"/>
          <w:sz w:val="24"/>
          <w:szCs w:val="22"/>
          <w14:ligatures w14:val="none"/>
        </w:rPr>
        <w:t>,</w:t>
      </w:r>
      <w:r w:rsidR="009918C3" w:rsidRPr="00B07D70">
        <w:rPr>
          <w:rStyle w:val="FootnoteReference"/>
          <w:sz w:val="24"/>
        </w:rPr>
        <w:footnoteReference w:id="1"/>
      </w:r>
      <w:r w:rsidR="00B837C4" w:rsidRPr="00B07D70">
        <w:rPr>
          <w:rFonts w:eastAsia="Times New Roman" w:cs="Times New Roman"/>
          <w:sz w:val="24"/>
          <w:szCs w:val="22"/>
          <w14:ligatures w14:val="none"/>
        </w:rPr>
        <w:t>Solvency II: Capital add-ons</w:t>
      </w:r>
      <w:r w:rsidR="009918C3" w:rsidRPr="00B07D70">
        <w:rPr>
          <w:rStyle w:val="FootnoteReference"/>
          <w:sz w:val="24"/>
        </w:rPr>
        <w:footnoteReference w:id="2"/>
      </w:r>
      <w:r w:rsidR="00B837C4" w:rsidRPr="00B07D70">
        <w:rPr>
          <w:rStyle w:val="FootnoteReference"/>
        </w:rPr>
        <w:t xml:space="preserve"> </w:t>
      </w:r>
      <w:r w:rsidRPr="00B07D70">
        <w:rPr>
          <w:rFonts w:eastAsia="Times New Roman" w:cs="Times New Roman"/>
          <w:sz w:val="24"/>
          <w:szCs w:val="22"/>
          <w14:ligatures w14:val="none"/>
        </w:rPr>
        <w:t>and the relevant forms available on the Bank of England website</w:t>
      </w:r>
      <w:r w:rsidR="00B07D70">
        <w:rPr>
          <w:rFonts w:eastAsia="Times New Roman" w:cs="Times New Roman"/>
          <w:sz w:val="24"/>
          <w:szCs w:val="22"/>
          <w14:ligatures w14:val="none"/>
        </w:rPr>
        <w:t>.</w:t>
      </w:r>
      <w:r w:rsidR="009918C3" w:rsidRPr="00B07D70">
        <w:rPr>
          <w:rStyle w:val="FootnoteReference"/>
          <w:sz w:val="24"/>
        </w:rPr>
        <w:footnoteReference w:id="3"/>
      </w:r>
      <w:r w:rsidRPr="00B07D70">
        <w:rPr>
          <w:rFonts w:eastAsia="Times New Roman" w:cs="Times New Roman"/>
          <w:sz w:val="24"/>
          <w:szCs w:val="22"/>
          <w14:ligatures w14:val="none"/>
        </w:rPr>
        <w:t xml:space="preserve"> </w:t>
      </w:r>
    </w:p>
    <w:p w14:paraId="7030DCA3" w14:textId="5E299A3C" w:rsidR="00DD36B4" w:rsidRPr="00F1255B" w:rsidRDefault="00DD36B4" w:rsidP="00F1255B">
      <w:pPr>
        <w:pStyle w:val="ListParagraph"/>
        <w:numPr>
          <w:ilvl w:val="0"/>
          <w:numId w:val="1"/>
        </w:numPr>
        <w:spacing w:line="276" w:lineRule="auto"/>
        <w:rPr>
          <w:rFonts w:eastAsiaTheme="minorEastAsia"/>
          <w:b/>
          <w:bCs/>
          <w:sz w:val="24"/>
          <w:szCs w:val="24"/>
          <w:lang w:eastAsia="en-GB"/>
          <w14:ligatures w14:val="none"/>
        </w:rPr>
      </w:pPr>
      <w:r w:rsidRPr="00F1255B">
        <w:rPr>
          <w:rFonts w:eastAsiaTheme="minorEastAsia"/>
          <w:b/>
          <w:bCs/>
          <w:sz w:val="24"/>
          <w:szCs w:val="24"/>
          <w:lang w:eastAsia="en-GB"/>
          <w14:ligatures w14:val="none"/>
        </w:rPr>
        <w:t xml:space="preserve">When will the new process take effect, </w:t>
      </w:r>
      <w:r w:rsidR="00823879" w:rsidRPr="00F1255B">
        <w:rPr>
          <w:rFonts w:eastAsiaTheme="minorEastAsia"/>
          <w:b/>
          <w:bCs/>
          <w:sz w:val="24"/>
          <w:szCs w:val="24"/>
          <w:lang w:eastAsia="en-GB"/>
          <w14:ligatures w14:val="none"/>
        </w:rPr>
        <w:t xml:space="preserve">and </w:t>
      </w:r>
      <w:r w:rsidR="0090621A" w:rsidRPr="00F1255B">
        <w:rPr>
          <w:rFonts w:eastAsiaTheme="minorEastAsia"/>
          <w:b/>
          <w:bCs/>
          <w:sz w:val="24"/>
          <w:szCs w:val="24"/>
          <w:lang w:eastAsia="en-GB"/>
          <w14:ligatures w14:val="none"/>
        </w:rPr>
        <w:t xml:space="preserve">what </w:t>
      </w:r>
      <w:r w:rsidR="00823879" w:rsidRPr="00F1255B">
        <w:rPr>
          <w:rFonts w:eastAsiaTheme="minorEastAsia"/>
          <w:b/>
          <w:bCs/>
          <w:sz w:val="24"/>
          <w:szCs w:val="24"/>
          <w:lang w:eastAsia="en-GB"/>
          <w14:ligatures w14:val="none"/>
        </w:rPr>
        <w:t>should firms</w:t>
      </w:r>
      <w:r w:rsidR="0090621A" w:rsidRPr="00F1255B">
        <w:rPr>
          <w:rFonts w:eastAsiaTheme="minorEastAsia"/>
          <w:b/>
          <w:bCs/>
          <w:sz w:val="24"/>
          <w:szCs w:val="24"/>
          <w:lang w:eastAsia="en-GB"/>
          <w14:ligatures w14:val="none"/>
        </w:rPr>
        <w:t xml:space="preserve"> do to prepare ahead of this </w:t>
      </w:r>
      <w:r w:rsidR="00823879" w:rsidRPr="00F1255B">
        <w:rPr>
          <w:rFonts w:eastAsiaTheme="minorEastAsia"/>
          <w:b/>
          <w:bCs/>
          <w:sz w:val="24"/>
          <w:szCs w:val="24"/>
          <w:lang w:eastAsia="en-GB"/>
          <w14:ligatures w14:val="none"/>
        </w:rPr>
        <w:t>date</w:t>
      </w:r>
      <w:r w:rsidRPr="00F1255B">
        <w:rPr>
          <w:rFonts w:eastAsiaTheme="minorEastAsia"/>
          <w:b/>
          <w:bCs/>
          <w:sz w:val="24"/>
          <w:szCs w:val="24"/>
          <w:lang w:eastAsia="en-GB"/>
          <w14:ligatures w14:val="none"/>
        </w:rPr>
        <w:t>?</w:t>
      </w:r>
    </w:p>
    <w:p w14:paraId="273EED8F" w14:textId="77777777" w:rsidR="00B07D70" w:rsidRPr="00B07D70" w:rsidRDefault="00B07D70" w:rsidP="00B07D70">
      <w:pPr>
        <w:pStyle w:val="ListParagraph"/>
        <w:spacing w:after="0" w:line="276" w:lineRule="auto"/>
        <w:rPr>
          <w:rFonts w:eastAsia="Times New Roman"/>
          <w:b/>
          <w:bCs/>
          <w:sz w:val="24"/>
          <w:szCs w:val="24"/>
          <w:lang w:eastAsia="en-GB"/>
          <w14:ligatures w14:val="none"/>
        </w:rPr>
      </w:pPr>
    </w:p>
    <w:p w14:paraId="208E007E" w14:textId="3FBA5C18" w:rsidR="00B07D70" w:rsidRDefault="0061615D" w:rsidP="00B07D70">
      <w:pPr>
        <w:spacing w:after="0" w:line="300" w:lineRule="auto"/>
        <w:rPr>
          <w:rFonts w:eastAsia="Times New Roman"/>
          <w:sz w:val="24"/>
          <w:szCs w:val="24"/>
          <w:lang w:eastAsia="en-GB"/>
          <w14:ligatures w14:val="none"/>
        </w:rPr>
      </w:pPr>
      <w:r w:rsidRPr="00B07D70">
        <w:rPr>
          <w:rFonts w:eastAsia="Times New Roman"/>
          <w:sz w:val="24"/>
          <w:szCs w:val="24"/>
          <w:lang w:eastAsia="en-GB"/>
          <w14:ligatures w14:val="none"/>
        </w:rPr>
        <w:t xml:space="preserve">The </w:t>
      </w:r>
      <w:r w:rsidR="005172BB" w:rsidRPr="00B07D70">
        <w:rPr>
          <w:rFonts w:eastAsia="Times New Roman"/>
          <w:sz w:val="24"/>
          <w:szCs w:val="24"/>
          <w:lang w:eastAsia="en-GB"/>
          <w14:ligatures w14:val="none"/>
        </w:rPr>
        <w:t xml:space="preserve">PRA’s reforms to the </w:t>
      </w:r>
      <w:r w:rsidR="00DD36B4" w:rsidRPr="00B07D70">
        <w:rPr>
          <w:rFonts w:eastAsia="Times New Roman"/>
          <w:sz w:val="24"/>
          <w:szCs w:val="24"/>
          <w:lang w:eastAsia="en-GB"/>
          <w14:ligatures w14:val="none"/>
        </w:rPr>
        <w:t>S</w:t>
      </w:r>
      <w:r w:rsidR="00637A59" w:rsidRPr="00B07D70">
        <w:rPr>
          <w:rFonts w:eastAsia="Times New Roman"/>
          <w:sz w:val="24"/>
          <w:szCs w:val="24"/>
          <w:lang w:eastAsia="en-GB"/>
          <w14:ligatures w14:val="none"/>
        </w:rPr>
        <w:t xml:space="preserve">olvency </w:t>
      </w:r>
      <w:r w:rsidR="00823879" w:rsidRPr="00B07D70">
        <w:rPr>
          <w:rFonts w:eastAsia="Times New Roman"/>
          <w:sz w:val="24"/>
          <w:szCs w:val="24"/>
          <w:lang w:eastAsia="en-GB"/>
          <w14:ligatures w14:val="none"/>
        </w:rPr>
        <w:t xml:space="preserve">II </w:t>
      </w:r>
      <w:r w:rsidR="00A7575D" w:rsidRPr="00B07D70">
        <w:rPr>
          <w:rFonts w:eastAsia="Times New Roman"/>
          <w:sz w:val="24"/>
          <w:szCs w:val="24"/>
          <w:lang w:eastAsia="en-GB"/>
          <w14:ligatures w14:val="none"/>
        </w:rPr>
        <w:t>I</w:t>
      </w:r>
      <w:r w:rsidR="00DD36B4" w:rsidRPr="00B07D70">
        <w:rPr>
          <w:rFonts w:eastAsia="Times New Roman"/>
          <w:sz w:val="24"/>
          <w:szCs w:val="24"/>
          <w:lang w:eastAsia="en-GB"/>
          <w14:ligatures w14:val="none"/>
        </w:rPr>
        <w:t xml:space="preserve">nternal </w:t>
      </w:r>
      <w:r w:rsidR="00A7575D" w:rsidRPr="00B07D70">
        <w:rPr>
          <w:rFonts w:eastAsia="Times New Roman"/>
          <w:sz w:val="24"/>
          <w:szCs w:val="24"/>
          <w:lang w:eastAsia="en-GB"/>
          <w14:ligatures w14:val="none"/>
        </w:rPr>
        <w:t>M</w:t>
      </w:r>
      <w:r w:rsidR="00DD36B4" w:rsidRPr="00B07D70">
        <w:rPr>
          <w:rFonts w:eastAsia="Times New Roman"/>
          <w:sz w:val="24"/>
          <w:szCs w:val="24"/>
          <w:lang w:eastAsia="en-GB"/>
          <w14:ligatures w14:val="none"/>
        </w:rPr>
        <w:t>odel</w:t>
      </w:r>
      <w:r w:rsidR="00A41CC2" w:rsidRPr="00B07D70">
        <w:rPr>
          <w:rFonts w:eastAsia="Times New Roman"/>
          <w:sz w:val="24"/>
          <w:szCs w:val="24"/>
          <w:lang w:eastAsia="en-GB"/>
          <w14:ligatures w14:val="none"/>
        </w:rPr>
        <w:t xml:space="preserve"> (IM)</w:t>
      </w:r>
      <w:r w:rsidR="00DD36B4" w:rsidRPr="00B07D70">
        <w:rPr>
          <w:rFonts w:eastAsia="Times New Roman"/>
          <w:sz w:val="24"/>
          <w:szCs w:val="24"/>
          <w:lang w:eastAsia="en-GB"/>
          <w14:ligatures w14:val="none"/>
        </w:rPr>
        <w:t xml:space="preserve"> </w:t>
      </w:r>
      <w:r w:rsidR="005172BB" w:rsidRPr="00B07D70">
        <w:rPr>
          <w:rFonts w:eastAsia="Times New Roman"/>
          <w:sz w:val="24"/>
          <w:szCs w:val="24"/>
          <w:lang w:eastAsia="en-GB"/>
          <w14:ligatures w14:val="none"/>
        </w:rPr>
        <w:t xml:space="preserve">framework </w:t>
      </w:r>
      <w:r w:rsidR="00B6139A" w:rsidRPr="00B07D70">
        <w:rPr>
          <w:rFonts w:eastAsia="Times New Roman"/>
          <w:sz w:val="24"/>
          <w:szCs w:val="24"/>
          <w:lang w:eastAsia="en-GB"/>
          <w14:ligatures w14:val="none"/>
        </w:rPr>
        <w:t>are</w:t>
      </w:r>
      <w:r w:rsidR="000F43B6" w:rsidRPr="00B07D70">
        <w:rPr>
          <w:rFonts w:eastAsia="Times New Roman"/>
          <w:sz w:val="24"/>
          <w:szCs w:val="24"/>
          <w:lang w:eastAsia="en-GB"/>
          <w14:ligatures w14:val="none"/>
        </w:rPr>
        <w:t xml:space="preserve"> scheduled to</w:t>
      </w:r>
      <w:r w:rsidR="00C41CAC" w:rsidRPr="00B07D70">
        <w:rPr>
          <w:rFonts w:eastAsia="Times New Roman"/>
          <w:sz w:val="24"/>
          <w:szCs w:val="24"/>
          <w:lang w:eastAsia="en-GB"/>
          <w14:ligatures w14:val="none"/>
        </w:rPr>
        <w:t xml:space="preserve"> </w:t>
      </w:r>
      <w:r w:rsidR="00DD36B4" w:rsidRPr="00B07D70">
        <w:rPr>
          <w:rFonts w:eastAsia="Times New Roman"/>
          <w:sz w:val="24"/>
          <w:szCs w:val="24"/>
          <w:lang w:eastAsia="en-GB"/>
          <w14:ligatures w14:val="none"/>
        </w:rPr>
        <w:t>take effect</w:t>
      </w:r>
      <w:r w:rsidRPr="00B07D70">
        <w:rPr>
          <w:rFonts w:eastAsia="Times New Roman"/>
          <w:sz w:val="24"/>
          <w:szCs w:val="24"/>
          <w:lang w:eastAsia="en-GB"/>
          <w14:ligatures w14:val="none"/>
        </w:rPr>
        <w:t xml:space="preserve"> on</w:t>
      </w:r>
      <w:r w:rsidR="00DD36B4" w:rsidRPr="00B07D70">
        <w:rPr>
          <w:rFonts w:eastAsia="Times New Roman"/>
          <w:sz w:val="24"/>
          <w:szCs w:val="24"/>
          <w:lang w:eastAsia="en-GB"/>
          <w14:ligatures w14:val="none"/>
        </w:rPr>
        <w:t xml:space="preserve"> 31 December 2024. </w:t>
      </w:r>
    </w:p>
    <w:p w14:paraId="4D0E6ECD" w14:textId="77777777" w:rsidR="00B07D70" w:rsidRPr="00B07D70" w:rsidRDefault="00B07D70" w:rsidP="00B07D70">
      <w:pPr>
        <w:spacing w:after="0" w:line="300" w:lineRule="auto"/>
        <w:rPr>
          <w:rFonts w:eastAsia="Times New Roman"/>
          <w:sz w:val="24"/>
          <w:szCs w:val="24"/>
          <w:lang w:eastAsia="en-GB"/>
          <w14:ligatures w14:val="none"/>
        </w:rPr>
      </w:pPr>
    </w:p>
    <w:p w14:paraId="329B4457" w14:textId="5E7A58B6" w:rsidR="007658C5" w:rsidRPr="00B07D70" w:rsidRDefault="00B07D70" w:rsidP="00B07D70">
      <w:pPr>
        <w:spacing w:after="0" w:line="300" w:lineRule="auto"/>
        <w:rPr>
          <w:rFonts w:eastAsia="Times New Roman"/>
          <w:sz w:val="24"/>
          <w:szCs w:val="24"/>
          <w:lang w:eastAsia="en-GB"/>
          <w14:ligatures w14:val="none"/>
        </w:rPr>
      </w:pPr>
      <w:r w:rsidRPr="00B07D70">
        <w:rPr>
          <w:rFonts w:eastAsia="Times New Roman"/>
          <w:sz w:val="24"/>
          <w:szCs w:val="24"/>
          <w:lang w:eastAsia="en-GB"/>
          <w14:ligatures w14:val="none"/>
        </w:rPr>
        <w:t>T</w:t>
      </w:r>
      <w:r w:rsidR="00DD36B4" w:rsidRPr="00B07D70">
        <w:rPr>
          <w:rFonts w:eastAsia="Times New Roman"/>
          <w:sz w:val="24"/>
          <w:szCs w:val="24"/>
          <w:lang w:eastAsia="en-GB"/>
          <w14:ligatures w14:val="none"/>
        </w:rPr>
        <w:t xml:space="preserve">he PRA has provided firms with </w:t>
      </w:r>
      <w:r w:rsidR="00846521" w:rsidRPr="00B07D70">
        <w:rPr>
          <w:rFonts w:eastAsia="Times New Roman"/>
          <w:sz w:val="24"/>
          <w:szCs w:val="24"/>
          <w:lang w:eastAsia="en-GB"/>
          <w14:ligatures w14:val="none"/>
        </w:rPr>
        <w:t>additional</w:t>
      </w:r>
      <w:r w:rsidR="00DD36B4" w:rsidRPr="00B07D70">
        <w:rPr>
          <w:rFonts w:eastAsia="Times New Roman"/>
          <w:sz w:val="24"/>
          <w:szCs w:val="24"/>
          <w:lang w:eastAsia="en-GB"/>
          <w14:ligatures w14:val="none"/>
        </w:rPr>
        <w:t xml:space="preserve"> time </w:t>
      </w:r>
      <w:r w:rsidR="00846521" w:rsidRPr="00B07D70">
        <w:rPr>
          <w:rFonts w:eastAsia="Times New Roman"/>
          <w:sz w:val="24"/>
          <w:szCs w:val="24"/>
          <w:lang w:eastAsia="en-GB"/>
          <w14:ligatures w14:val="none"/>
        </w:rPr>
        <w:t>to implement some</w:t>
      </w:r>
      <w:r w:rsidR="00DD36B4" w:rsidRPr="00B07D70">
        <w:rPr>
          <w:rFonts w:eastAsia="Times New Roman"/>
          <w:sz w:val="24"/>
          <w:szCs w:val="24"/>
          <w:lang w:eastAsia="en-GB"/>
          <w14:ligatures w14:val="none"/>
        </w:rPr>
        <w:t xml:space="preserve"> </w:t>
      </w:r>
      <w:r w:rsidR="0061615D" w:rsidRPr="00B07D70">
        <w:rPr>
          <w:rFonts w:eastAsia="Times New Roman"/>
          <w:sz w:val="24"/>
          <w:szCs w:val="24"/>
          <w:lang w:eastAsia="en-GB"/>
          <w14:ligatures w14:val="none"/>
        </w:rPr>
        <w:t xml:space="preserve">of the </w:t>
      </w:r>
      <w:r w:rsidR="00DD36B4" w:rsidRPr="00B07D70">
        <w:rPr>
          <w:rFonts w:eastAsia="Times New Roman"/>
          <w:sz w:val="24"/>
          <w:szCs w:val="24"/>
          <w:lang w:eastAsia="en-GB"/>
          <w14:ligatures w14:val="none"/>
        </w:rPr>
        <w:t xml:space="preserve">new </w:t>
      </w:r>
      <w:r w:rsidR="0020238D" w:rsidRPr="00B07D70">
        <w:rPr>
          <w:rFonts w:eastAsia="Times New Roman"/>
          <w:sz w:val="24"/>
          <w:szCs w:val="24"/>
          <w:lang w:eastAsia="en-GB"/>
          <w14:ligatures w14:val="none"/>
        </w:rPr>
        <w:t>rules, including</w:t>
      </w:r>
      <w:r w:rsidR="007658C5" w:rsidRPr="00B07D70">
        <w:rPr>
          <w:rFonts w:eastAsia="Times New Roman"/>
          <w:sz w:val="24"/>
          <w:szCs w:val="24"/>
          <w:lang w:eastAsia="en-GB"/>
          <w14:ligatures w14:val="none"/>
        </w:rPr>
        <w:t>:</w:t>
      </w:r>
    </w:p>
    <w:p w14:paraId="140D3C3E" w14:textId="18E5964D" w:rsidR="007658C5" w:rsidRPr="00B07D70" w:rsidRDefault="007658C5" w:rsidP="00B07D70">
      <w:pPr>
        <w:pStyle w:val="ListParagraph"/>
        <w:numPr>
          <w:ilvl w:val="1"/>
          <w:numId w:val="21"/>
        </w:numPr>
        <w:spacing w:after="0" w:line="276" w:lineRule="auto"/>
        <w:rPr>
          <w:rFonts w:eastAsia="Times New Roman"/>
          <w:sz w:val="24"/>
          <w:szCs w:val="24"/>
          <w:lang w:eastAsia="en-GB"/>
          <w14:ligatures w14:val="none"/>
        </w:rPr>
      </w:pPr>
      <w:r w:rsidRPr="00B07D70">
        <w:rPr>
          <w:rFonts w:eastAsia="Times New Roman"/>
          <w:sz w:val="24"/>
          <w:szCs w:val="24"/>
          <w:lang w:eastAsia="en-GB"/>
          <w14:ligatures w14:val="none"/>
        </w:rPr>
        <w:t xml:space="preserve">Allowing firms up to two years from the effective date of the final rules to make consequential changes to their </w:t>
      </w:r>
      <w:r w:rsidR="000768A5" w:rsidRPr="00B07D70">
        <w:rPr>
          <w:rFonts w:eastAsia="Times New Roman"/>
          <w:sz w:val="24"/>
          <w:szCs w:val="24"/>
          <w:lang w:eastAsia="en-GB"/>
          <w14:ligatures w14:val="none"/>
        </w:rPr>
        <w:t xml:space="preserve">IM </w:t>
      </w:r>
      <w:r w:rsidR="00DD36B4" w:rsidRPr="00B07D70">
        <w:rPr>
          <w:rFonts w:eastAsia="Times New Roman"/>
          <w:sz w:val="24"/>
          <w:szCs w:val="24"/>
          <w:lang w:eastAsia="en-GB"/>
          <w14:ligatures w14:val="none"/>
        </w:rPr>
        <w:t>change policies to reflect model limitation adjustments (MLAs</w:t>
      </w:r>
      <w:r w:rsidRPr="00B07D70">
        <w:rPr>
          <w:rFonts w:eastAsia="Times New Roman"/>
          <w:sz w:val="24"/>
          <w:szCs w:val="24"/>
          <w:lang w:eastAsia="en-GB"/>
          <w14:ligatures w14:val="none"/>
        </w:rPr>
        <w:t>)</w:t>
      </w:r>
      <w:r w:rsidR="00CF0A23">
        <w:rPr>
          <w:rFonts w:eastAsia="Times New Roman"/>
          <w:sz w:val="24"/>
          <w:szCs w:val="24"/>
          <w:lang w:eastAsia="en-GB"/>
          <w14:ligatures w14:val="none"/>
        </w:rPr>
        <w:t>.</w:t>
      </w:r>
    </w:p>
    <w:p w14:paraId="613E8EED" w14:textId="3AC3DA3F" w:rsidR="00D25D89" w:rsidRPr="00B07D70" w:rsidRDefault="007658C5" w:rsidP="00B07D70">
      <w:pPr>
        <w:pStyle w:val="ListParagraph"/>
        <w:numPr>
          <w:ilvl w:val="1"/>
          <w:numId w:val="21"/>
        </w:numPr>
        <w:spacing w:after="0" w:line="276" w:lineRule="auto"/>
        <w:rPr>
          <w:rFonts w:eastAsia="Times New Roman"/>
          <w:sz w:val="24"/>
          <w:szCs w:val="24"/>
          <w:lang w:eastAsia="en-GB"/>
          <w14:ligatures w14:val="none"/>
        </w:rPr>
      </w:pPr>
      <w:r w:rsidRPr="00B07D70">
        <w:rPr>
          <w:rFonts w:eastAsia="Times New Roman"/>
          <w:sz w:val="24"/>
          <w:szCs w:val="24"/>
          <w:lang w:eastAsia="en-GB"/>
          <w14:ligatures w14:val="none"/>
        </w:rPr>
        <w:t>C</w:t>
      </w:r>
      <w:r w:rsidR="00B779A4" w:rsidRPr="00B07D70">
        <w:rPr>
          <w:rFonts w:eastAsia="Times New Roman"/>
          <w:sz w:val="24"/>
          <w:szCs w:val="24"/>
          <w:lang w:eastAsia="en-GB"/>
          <w14:ligatures w14:val="none"/>
        </w:rPr>
        <w:t xml:space="preserve">ommencing the </w:t>
      </w:r>
      <w:r w:rsidR="00BF1020" w:rsidRPr="00B07D70">
        <w:rPr>
          <w:rFonts w:eastAsia="Times New Roman"/>
          <w:sz w:val="24"/>
          <w:szCs w:val="24"/>
          <w:lang w:eastAsia="en-GB"/>
          <w14:ligatures w14:val="none"/>
        </w:rPr>
        <w:t xml:space="preserve">annual </w:t>
      </w:r>
      <w:r w:rsidR="00DD36B4" w:rsidRPr="00B07D70">
        <w:rPr>
          <w:rFonts w:eastAsia="Times New Roman"/>
          <w:sz w:val="24"/>
          <w:szCs w:val="24"/>
          <w:lang w:eastAsia="en-GB"/>
          <w14:ligatures w14:val="none"/>
        </w:rPr>
        <w:t xml:space="preserve">submissions of </w:t>
      </w:r>
      <w:r w:rsidR="00BF1020" w:rsidRPr="00B07D70">
        <w:rPr>
          <w:rFonts w:eastAsia="Times New Roman"/>
          <w:sz w:val="24"/>
          <w:szCs w:val="24"/>
          <w:lang w:eastAsia="en-GB"/>
          <w14:ligatures w14:val="none"/>
        </w:rPr>
        <w:t>analysis of change (A</w:t>
      </w:r>
      <w:r w:rsidR="00DD36B4" w:rsidRPr="00B07D70">
        <w:rPr>
          <w:rFonts w:eastAsia="Times New Roman"/>
          <w:sz w:val="24"/>
          <w:szCs w:val="24"/>
          <w:lang w:eastAsia="en-GB"/>
          <w14:ligatures w14:val="none"/>
        </w:rPr>
        <w:t>oC</w:t>
      </w:r>
      <w:r w:rsidR="00BF1020" w:rsidRPr="00B07D70">
        <w:rPr>
          <w:rFonts w:eastAsia="Times New Roman"/>
          <w:sz w:val="24"/>
          <w:szCs w:val="24"/>
          <w:lang w:eastAsia="en-GB"/>
          <w14:ligatures w14:val="none"/>
        </w:rPr>
        <w:t>)</w:t>
      </w:r>
      <w:r w:rsidR="00DD36B4" w:rsidRPr="00B07D70">
        <w:rPr>
          <w:rFonts w:eastAsia="Times New Roman"/>
          <w:sz w:val="24"/>
          <w:szCs w:val="24"/>
          <w:lang w:eastAsia="en-GB"/>
          <w14:ligatures w14:val="none"/>
        </w:rPr>
        <w:t xml:space="preserve"> exercises</w:t>
      </w:r>
      <w:r w:rsidRPr="00B07D70">
        <w:rPr>
          <w:rFonts w:eastAsia="Times New Roman"/>
          <w:sz w:val="24"/>
          <w:szCs w:val="24"/>
          <w:lang w:eastAsia="en-GB"/>
          <w14:ligatures w14:val="none"/>
        </w:rPr>
        <w:t xml:space="preserve"> from </w:t>
      </w:r>
      <w:r w:rsidR="006C5DB7" w:rsidRPr="00B07D70">
        <w:rPr>
          <w:rFonts w:eastAsia="Times New Roman"/>
          <w:sz w:val="24"/>
          <w:szCs w:val="24"/>
          <w:lang w:eastAsia="en-GB"/>
          <w14:ligatures w14:val="none"/>
        </w:rPr>
        <w:t>a</w:t>
      </w:r>
      <w:r w:rsidRPr="00B07D70">
        <w:rPr>
          <w:rFonts w:eastAsia="Times New Roman"/>
          <w:sz w:val="24"/>
          <w:szCs w:val="24"/>
          <w:lang w:eastAsia="en-GB"/>
          <w14:ligatures w14:val="none"/>
        </w:rPr>
        <w:t xml:space="preserve"> firm or group’s first financial year</w:t>
      </w:r>
      <w:r w:rsidR="00D4762C" w:rsidRPr="00B07D70">
        <w:rPr>
          <w:rFonts w:eastAsia="Times New Roman"/>
          <w:sz w:val="24"/>
          <w:szCs w:val="24"/>
          <w:lang w:eastAsia="en-GB"/>
          <w14:ligatures w14:val="none"/>
        </w:rPr>
        <w:t>-</w:t>
      </w:r>
      <w:r w:rsidRPr="00B07D70">
        <w:rPr>
          <w:rFonts w:eastAsia="Times New Roman"/>
          <w:sz w:val="24"/>
          <w:szCs w:val="24"/>
          <w:lang w:eastAsia="en-GB"/>
          <w14:ligatures w14:val="none"/>
        </w:rPr>
        <w:t>end on or after 31 December 2025</w:t>
      </w:r>
      <w:r w:rsidR="00CF0A23">
        <w:rPr>
          <w:rFonts w:eastAsia="Times New Roman"/>
          <w:sz w:val="24"/>
          <w:szCs w:val="24"/>
          <w:lang w:eastAsia="en-GB"/>
          <w14:ligatures w14:val="none"/>
        </w:rPr>
        <w:t>.</w:t>
      </w:r>
    </w:p>
    <w:p w14:paraId="52A83979" w14:textId="77777777" w:rsidR="00B07D70" w:rsidRDefault="00B07D70" w:rsidP="00B07D70">
      <w:pPr>
        <w:rPr>
          <w:sz w:val="24"/>
          <w:szCs w:val="24"/>
        </w:rPr>
      </w:pPr>
    </w:p>
    <w:p w14:paraId="2157B39B" w14:textId="7933C8B8" w:rsidR="00393DC8" w:rsidRPr="0076574A" w:rsidRDefault="00DD36B4" w:rsidP="00B07D70">
      <w:pPr>
        <w:spacing w:after="0" w:line="300" w:lineRule="auto"/>
      </w:pPr>
      <w:r w:rsidRPr="00B07D70">
        <w:rPr>
          <w:rFonts w:eastAsia="Times New Roman"/>
          <w:sz w:val="24"/>
          <w:szCs w:val="24"/>
          <w:lang w:eastAsia="en-GB"/>
          <w14:ligatures w14:val="none"/>
        </w:rPr>
        <w:t xml:space="preserve">Firms are strongly encouraged to </w:t>
      </w:r>
      <w:r w:rsidR="00836381" w:rsidRPr="00B07D70">
        <w:rPr>
          <w:rFonts w:eastAsia="Times New Roman"/>
          <w:sz w:val="24"/>
          <w:szCs w:val="24"/>
          <w:lang w:eastAsia="en-GB"/>
          <w14:ligatures w14:val="none"/>
        </w:rPr>
        <w:t xml:space="preserve">notify </w:t>
      </w:r>
      <w:r w:rsidR="0061615D" w:rsidRPr="00B07D70">
        <w:rPr>
          <w:rFonts w:eastAsia="Times New Roman"/>
          <w:sz w:val="24"/>
          <w:szCs w:val="24"/>
          <w:lang w:eastAsia="en-GB"/>
          <w14:ligatures w14:val="none"/>
        </w:rPr>
        <w:t xml:space="preserve">their </w:t>
      </w:r>
      <w:r w:rsidR="00836381" w:rsidRPr="00B07D70">
        <w:rPr>
          <w:rFonts w:eastAsia="Times New Roman"/>
          <w:sz w:val="24"/>
          <w:szCs w:val="24"/>
          <w:lang w:eastAsia="en-GB"/>
          <w14:ligatures w14:val="none"/>
        </w:rPr>
        <w:t xml:space="preserve">usual </w:t>
      </w:r>
      <w:r w:rsidRPr="00B07D70">
        <w:rPr>
          <w:rFonts w:eastAsia="Times New Roman"/>
          <w:sz w:val="24"/>
          <w:szCs w:val="24"/>
          <w:lang w:eastAsia="en-GB"/>
          <w14:ligatures w14:val="none"/>
        </w:rPr>
        <w:t>supervisory contact</w:t>
      </w:r>
      <w:r w:rsidR="00836381" w:rsidRPr="00B07D70">
        <w:rPr>
          <w:rFonts w:eastAsia="Times New Roman"/>
          <w:sz w:val="24"/>
          <w:szCs w:val="24"/>
          <w:lang w:eastAsia="en-GB"/>
          <w14:ligatures w14:val="none"/>
        </w:rPr>
        <w:t xml:space="preserve">, </w:t>
      </w:r>
      <w:r w:rsidR="00287135" w:rsidRPr="00B07D70">
        <w:rPr>
          <w:rFonts w:eastAsia="Times New Roman"/>
          <w:sz w:val="24"/>
          <w:szCs w:val="24"/>
          <w:lang w:eastAsia="en-GB"/>
          <w14:ligatures w14:val="none"/>
        </w:rPr>
        <w:t>with as much notice as possible,</w:t>
      </w:r>
      <w:r w:rsidRPr="00B07D70">
        <w:rPr>
          <w:rFonts w:eastAsia="Times New Roman"/>
          <w:sz w:val="24"/>
          <w:szCs w:val="24"/>
          <w:lang w:eastAsia="en-GB"/>
          <w14:ligatures w14:val="none"/>
        </w:rPr>
        <w:t xml:space="preserve"> </w:t>
      </w:r>
      <w:r w:rsidR="00836381" w:rsidRPr="00B07D70">
        <w:rPr>
          <w:rFonts w:eastAsia="Times New Roman"/>
          <w:sz w:val="24"/>
          <w:szCs w:val="24"/>
          <w:lang w:eastAsia="en-GB"/>
          <w14:ligatures w14:val="none"/>
        </w:rPr>
        <w:t>of</w:t>
      </w:r>
      <w:r w:rsidRPr="00B07D70">
        <w:rPr>
          <w:rFonts w:eastAsia="Times New Roman"/>
          <w:sz w:val="24"/>
          <w:szCs w:val="24"/>
          <w:lang w:eastAsia="en-GB"/>
          <w14:ligatures w14:val="none"/>
        </w:rPr>
        <w:t xml:space="preserve"> all planned</w:t>
      </w:r>
      <w:r w:rsidR="0061615D" w:rsidRPr="00B07D70">
        <w:rPr>
          <w:rFonts w:eastAsia="Times New Roman"/>
          <w:sz w:val="24"/>
          <w:szCs w:val="24"/>
          <w:lang w:eastAsia="en-GB"/>
          <w14:ligatures w14:val="none"/>
        </w:rPr>
        <w:t xml:space="preserve"> </w:t>
      </w:r>
      <w:r w:rsidR="00A7575D" w:rsidRPr="00B07D70">
        <w:rPr>
          <w:rFonts w:eastAsia="Times New Roman"/>
          <w:sz w:val="24"/>
          <w:szCs w:val="24"/>
          <w:lang w:eastAsia="en-GB"/>
          <w14:ligatures w14:val="none"/>
        </w:rPr>
        <w:t xml:space="preserve">IM </w:t>
      </w:r>
      <w:r w:rsidRPr="00B07D70">
        <w:rPr>
          <w:rFonts w:eastAsia="Times New Roman"/>
          <w:sz w:val="24"/>
          <w:szCs w:val="24"/>
          <w:lang w:eastAsia="en-GB"/>
          <w14:ligatures w14:val="none"/>
        </w:rPr>
        <w:t>development and activity.</w:t>
      </w:r>
      <w:r w:rsidR="00B64D4E" w:rsidRPr="00B07D70">
        <w:rPr>
          <w:sz w:val="24"/>
          <w:szCs w:val="24"/>
        </w:rPr>
        <w:br/>
      </w:r>
    </w:p>
    <w:p w14:paraId="05A72DA6" w14:textId="77777777" w:rsidR="005B2037" w:rsidRPr="00B07D70" w:rsidRDefault="00823879" w:rsidP="00B07D70">
      <w:pPr>
        <w:pStyle w:val="ListParagraph"/>
        <w:numPr>
          <w:ilvl w:val="0"/>
          <w:numId w:val="1"/>
        </w:numPr>
        <w:spacing w:line="276" w:lineRule="auto"/>
        <w:rPr>
          <w:rFonts w:eastAsiaTheme="minorEastAsia"/>
          <w:b/>
          <w:bCs/>
          <w:sz w:val="24"/>
          <w:szCs w:val="24"/>
          <w:lang w:eastAsia="en-GB"/>
          <w14:ligatures w14:val="none"/>
        </w:rPr>
      </w:pPr>
      <w:r w:rsidRPr="00B07D70">
        <w:rPr>
          <w:rFonts w:eastAsiaTheme="minorEastAsia"/>
          <w:b/>
          <w:bCs/>
          <w:sz w:val="24"/>
          <w:szCs w:val="24"/>
          <w:lang w:eastAsia="en-GB"/>
          <w14:ligatures w14:val="none"/>
        </w:rPr>
        <w:t>What should firms submit with an IM application?</w:t>
      </w:r>
    </w:p>
    <w:p w14:paraId="04493A51" w14:textId="18539838" w:rsidR="00836381" w:rsidRDefault="00836381" w:rsidP="00B07D70">
      <w:pPr>
        <w:spacing w:after="0" w:line="300" w:lineRule="auto"/>
        <w:rPr>
          <w:rFonts w:eastAsia="Times New Roman"/>
          <w:sz w:val="24"/>
          <w:szCs w:val="24"/>
          <w:lang w:eastAsia="en-GB"/>
          <w14:ligatures w14:val="none"/>
        </w:rPr>
      </w:pPr>
      <w:r w:rsidRPr="00B07D70">
        <w:rPr>
          <w:rFonts w:eastAsia="Times New Roman"/>
          <w:sz w:val="24"/>
          <w:szCs w:val="24"/>
          <w:lang w:eastAsia="en-GB"/>
          <w14:ligatures w14:val="none"/>
        </w:rPr>
        <w:t>A firm should submit the following:</w:t>
      </w:r>
    </w:p>
    <w:p w14:paraId="233374F7" w14:textId="77777777" w:rsidR="00B07D70" w:rsidRPr="00B07D70" w:rsidRDefault="00B07D70" w:rsidP="00B07D70">
      <w:pPr>
        <w:spacing w:after="0" w:line="300" w:lineRule="auto"/>
        <w:rPr>
          <w:rFonts w:eastAsia="Times New Roman"/>
          <w:sz w:val="24"/>
          <w:szCs w:val="24"/>
          <w:lang w:eastAsia="en-GB"/>
          <w14:ligatures w14:val="none"/>
        </w:rPr>
      </w:pPr>
    </w:p>
    <w:p w14:paraId="0CDE1532" w14:textId="77777777" w:rsidR="00836381" w:rsidRPr="00B07D70" w:rsidRDefault="00836381" w:rsidP="00B07D70">
      <w:pPr>
        <w:pStyle w:val="ListParagraph"/>
        <w:numPr>
          <w:ilvl w:val="0"/>
          <w:numId w:val="22"/>
        </w:numPr>
        <w:rPr>
          <w:sz w:val="24"/>
          <w:szCs w:val="24"/>
        </w:rPr>
      </w:pPr>
      <w:r w:rsidRPr="00B07D70">
        <w:rPr>
          <w:sz w:val="24"/>
          <w:szCs w:val="24"/>
        </w:rPr>
        <w:t>S138BA FSMA Application Form</w:t>
      </w:r>
    </w:p>
    <w:p w14:paraId="7BC05C55" w14:textId="6BE97B16" w:rsidR="007658C5" w:rsidRPr="00B07D70" w:rsidRDefault="00836381" w:rsidP="00B07D70">
      <w:pPr>
        <w:pStyle w:val="ListParagraph"/>
        <w:numPr>
          <w:ilvl w:val="0"/>
          <w:numId w:val="22"/>
        </w:numPr>
        <w:rPr>
          <w:sz w:val="24"/>
          <w:szCs w:val="24"/>
        </w:rPr>
      </w:pPr>
      <w:r w:rsidRPr="00B07D70">
        <w:rPr>
          <w:sz w:val="24"/>
          <w:szCs w:val="24"/>
        </w:rPr>
        <w:t>Supplementary Information Form</w:t>
      </w:r>
    </w:p>
    <w:p w14:paraId="02A7152D" w14:textId="77897A2C" w:rsidR="007658C5" w:rsidRPr="00B07D70" w:rsidRDefault="007658C5" w:rsidP="00B07D70">
      <w:pPr>
        <w:pStyle w:val="ListParagraph"/>
        <w:numPr>
          <w:ilvl w:val="0"/>
          <w:numId w:val="22"/>
        </w:numPr>
        <w:rPr>
          <w:sz w:val="24"/>
          <w:szCs w:val="24"/>
        </w:rPr>
      </w:pPr>
      <w:r w:rsidRPr="00B07D70">
        <w:rPr>
          <w:sz w:val="24"/>
          <w:szCs w:val="24"/>
        </w:rPr>
        <w:t>Internal Model Application Template (IMAT)</w:t>
      </w:r>
    </w:p>
    <w:p w14:paraId="22AA690A" w14:textId="77777777" w:rsidR="00836381" w:rsidRDefault="00836381" w:rsidP="00011D8E">
      <w:pPr>
        <w:pStyle w:val="ListParagraph"/>
        <w:ind w:left="1800"/>
      </w:pPr>
    </w:p>
    <w:p w14:paraId="2F545F78" w14:textId="3D2120FF" w:rsidR="00836381" w:rsidRPr="00836381" w:rsidRDefault="00836381" w:rsidP="00836381">
      <w:pPr>
        <w:pStyle w:val="ListParagraph"/>
        <w:ind w:left="360"/>
        <w:rPr>
          <w:sz w:val="24"/>
          <w:szCs w:val="24"/>
        </w:rPr>
      </w:pPr>
      <w:r w:rsidRPr="00836381">
        <w:rPr>
          <w:sz w:val="24"/>
          <w:szCs w:val="24"/>
        </w:rPr>
        <w:t xml:space="preserve">These should be submitted to PRA Authorisations by email at </w:t>
      </w:r>
      <w:hyperlink r:id="rId8" w:history="1">
        <w:r w:rsidRPr="00003759">
          <w:rPr>
            <w:rStyle w:val="Hyperlink"/>
            <w:rFonts w:eastAsia="Times New Roman"/>
            <w:sz w:val="24"/>
            <w:szCs w:val="24"/>
          </w:rPr>
          <w:t>PRA-Waivers@bankofengland.co.uk</w:t>
        </w:r>
      </w:hyperlink>
      <w:r w:rsidRPr="00836381">
        <w:rPr>
          <w:sz w:val="24"/>
          <w:szCs w:val="24"/>
        </w:rPr>
        <w:t>, cc’ing the firm’s usual supervisory contact.</w:t>
      </w:r>
    </w:p>
    <w:p w14:paraId="4E8F5344" w14:textId="77777777" w:rsidR="00836381" w:rsidRDefault="00836381" w:rsidP="003244AE">
      <w:pPr>
        <w:pStyle w:val="ListParagraph"/>
        <w:ind w:left="360"/>
        <w:rPr>
          <w:rFonts w:eastAsia="Times New Roman"/>
          <w:color w:val="000000" w:themeColor="text1"/>
          <w:sz w:val="24"/>
          <w:szCs w:val="24"/>
        </w:rPr>
      </w:pPr>
    </w:p>
    <w:p w14:paraId="26C87345" w14:textId="6AC97B62" w:rsidR="003244AE" w:rsidRDefault="003244AE" w:rsidP="003244AE">
      <w:pPr>
        <w:pStyle w:val="ListParagraph"/>
        <w:ind w:left="360"/>
        <w:rPr>
          <w:rFonts w:eastAsia="Times New Roman"/>
          <w:color w:val="000000" w:themeColor="text1"/>
          <w:sz w:val="24"/>
          <w:szCs w:val="24"/>
        </w:rPr>
      </w:pPr>
      <w:r w:rsidRPr="00D143E6">
        <w:rPr>
          <w:rFonts w:eastAsia="Times New Roman" w:cs="Times New Roman"/>
          <w:sz w:val="24"/>
          <w:szCs w:val="22"/>
          <w14:ligatures w14:val="none"/>
        </w:rPr>
        <w:t>Where large files are submitted to the PRA, firms have an option to use the Online Document Exchange (ODE) to exchange files. The ODE facility has already been set up for</w:t>
      </w:r>
      <w:r w:rsidRPr="00182229">
        <w:rPr>
          <w:color w:val="262626"/>
          <w:sz w:val="24"/>
          <w:szCs w:val="24"/>
          <w:shd w:val="clear" w:color="auto" w:fill="FFFFFF"/>
        </w:rPr>
        <w:t xml:space="preserve"> </w:t>
      </w:r>
      <w:r>
        <w:rPr>
          <w:color w:val="262626"/>
          <w:sz w:val="24"/>
          <w:szCs w:val="24"/>
          <w:shd w:val="clear" w:color="auto" w:fill="FFFFFF"/>
        </w:rPr>
        <w:t>a subset of</w:t>
      </w:r>
      <w:r w:rsidRPr="00182229">
        <w:rPr>
          <w:color w:val="262626"/>
          <w:sz w:val="24"/>
          <w:szCs w:val="24"/>
          <w:shd w:val="clear" w:color="auto" w:fill="FFFFFF"/>
        </w:rPr>
        <w:t xml:space="preserve"> firms across the PRA. If </w:t>
      </w:r>
      <w:r>
        <w:rPr>
          <w:color w:val="262626"/>
          <w:sz w:val="24"/>
          <w:szCs w:val="24"/>
          <w:shd w:val="clear" w:color="auto" w:fill="FFFFFF"/>
        </w:rPr>
        <w:t>your firm</w:t>
      </w:r>
      <w:r w:rsidRPr="00182229">
        <w:rPr>
          <w:color w:val="262626"/>
          <w:sz w:val="24"/>
          <w:szCs w:val="24"/>
          <w:shd w:val="clear" w:color="auto" w:fill="FFFFFF"/>
        </w:rPr>
        <w:t xml:space="preserve"> </w:t>
      </w:r>
      <w:r>
        <w:rPr>
          <w:color w:val="262626"/>
          <w:sz w:val="24"/>
          <w:szCs w:val="24"/>
          <w:shd w:val="clear" w:color="auto" w:fill="FFFFFF"/>
        </w:rPr>
        <w:t>would like</w:t>
      </w:r>
      <w:r w:rsidRPr="00182229">
        <w:rPr>
          <w:color w:val="262626"/>
          <w:sz w:val="24"/>
          <w:szCs w:val="24"/>
          <w:shd w:val="clear" w:color="auto" w:fill="FFFFFF"/>
        </w:rPr>
        <w:t xml:space="preserve"> to use</w:t>
      </w:r>
      <w:r>
        <w:rPr>
          <w:color w:val="262626"/>
          <w:sz w:val="24"/>
          <w:szCs w:val="24"/>
          <w:shd w:val="clear" w:color="auto" w:fill="FFFFFF"/>
        </w:rPr>
        <w:t xml:space="preserve"> the</w:t>
      </w:r>
      <w:r w:rsidRPr="00182229">
        <w:rPr>
          <w:color w:val="262626"/>
          <w:sz w:val="24"/>
          <w:szCs w:val="24"/>
          <w:shd w:val="clear" w:color="auto" w:fill="FFFFFF"/>
        </w:rPr>
        <w:t xml:space="preserve"> </w:t>
      </w:r>
      <w:r>
        <w:rPr>
          <w:color w:val="262626"/>
          <w:sz w:val="24"/>
          <w:szCs w:val="24"/>
          <w:shd w:val="clear" w:color="auto" w:fill="FFFFFF"/>
        </w:rPr>
        <w:t>ODE facility,</w:t>
      </w:r>
      <w:r w:rsidRPr="00182229">
        <w:rPr>
          <w:color w:val="262626"/>
          <w:sz w:val="24"/>
          <w:szCs w:val="24"/>
          <w:shd w:val="clear" w:color="auto" w:fill="FFFFFF"/>
        </w:rPr>
        <w:t xml:space="preserve"> please reach out to your supervisory contact.</w:t>
      </w:r>
      <w:r w:rsidRPr="0076574A">
        <w:rPr>
          <w:rFonts w:eastAsia="Times New Roman"/>
          <w:color w:val="000000" w:themeColor="text1"/>
          <w:sz w:val="24"/>
          <w:szCs w:val="24"/>
        </w:rPr>
        <w:t xml:space="preserve"> </w:t>
      </w:r>
    </w:p>
    <w:p w14:paraId="7C753366" w14:textId="77777777" w:rsidR="005B2037" w:rsidRDefault="005B2037" w:rsidP="003244AE">
      <w:pPr>
        <w:pStyle w:val="ListParagraph"/>
        <w:ind w:left="360"/>
        <w:rPr>
          <w:rFonts w:eastAsia="Times New Roman"/>
          <w:color w:val="000000" w:themeColor="text1"/>
          <w:sz w:val="24"/>
          <w:szCs w:val="24"/>
        </w:rPr>
      </w:pPr>
    </w:p>
    <w:p w14:paraId="085AE11D" w14:textId="7020D6A1" w:rsidR="003244AE" w:rsidRPr="00B07D70" w:rsidRDefault="003244AE" w:rsidP="00B07D70">
      <w:pPr>
        <w:pStyle w:val="ListParagraph"/>
        <w:numPr>
          <w:ilvl w:val="0"/>
          <w:numId w:val="1"/>
        </w:numPr>
        <w:spacing w:line="276" w:lineRule="auto"/>
        <w:rPr>
          <w:rFonts w:eastAsia="Times New Roman"/>
          <w:b/>
          <w:bCs/>
          <w:i/>
          <w:iCs/>
          <w:color w:val="000000" w:themeColor="text1"/>
          <w:sz w:val="24"/>
          <w:szCs w:val="24"/>
        </w:rPr>
      </w:pPr>
      <w:r w:rsidRPr="00B07D70">
        <w:rPr>
          <w:rFonts w:eastAsiaTheme="minorEastAsia"/>
          <w:b/>
          <w:bCs/>
          <w:sz w:val="24"/>
          <w:szCs w:val="24"/>
          <w:lang w:eastAsia="en-GB"/>
          <w14:ligatures w14:val="none"/>
        </w:rPr>
        <w:t xml:space="preserve">What other information may </w:t>
      </w:r>
      <w:r w:rsidR="006B1510" w:rsidRPr="00B07D70">
        <w:rPr>
          <w:rFonts w:eastAsiaTheme="minorEastAsia"/>
          <w:b/>
          <w:bCs/>
          <w:sz w:val="24"/>
          <w:szCs w:val="24"/>
          <w:lang w:eastAsia="en-GB"/>
          <w14:ligatures w14:val="none"/>
        </w:rPr>
        <w:t xml:space="preserve">firms need to submit </w:t>
      </w:r>
      <w:r w:rsidR="00EF052C" w:rsidRPr="00B07D70">
        <w:rPr>
          <w:rFonts w:eastAsiaTheme="minorEastAsia"/>
          <w:b/>
          <w:bCs/>
          <w:sz w:val="24"/>
          <w:szCs w:val="24"/>
          <w:lang w:eastAsia="en-GB"/>
          <w14:ligatures w14:val="none"/>
        </w:rPr>
        <w:t>with an IM application</w:t>
      </w:r>
      <w:r w:rsidRPr="00B07D70">
        <w:rPr>
          <w:rFonts w:eastAsiaTheme="minorEastAsia"/>
          <w:b/>
          <w:bCs/>
          <w:sz w:val="24"/>
          <w:szCs w:val="24"/>
          <w:lang w:eastAsia="en-GB"/>
          <w14:ligatures w14:val="none"/>
        </w:rPr>
        <w:t>?</w:t>
      </w:r>
    </w:p>
    <w:p w14:paraId="6E7D13F3" w14:textId="77777777" w:rsidR="00B07D70" w:rsidRPr="00FA49C6" w:rsidRDefault="00B07D70" w:rsidP="00B07D70">
      <w:pPr>
        <w:pStyle w:val="ListParagraph"/>
        <w:spacing w:line="276" w:lineRule="auto"/>
        <w:ind w:left="360"/>
        <w:rPr>
          <w:rFonts w:eastAsia="Times New Roman"/>
          <w:b/>
          <w:bCs/>
          <w:i/>
          <w:iCs/>
          <w:color w:val="000000" w:themeColor="text1"/>
          <w:sz w:val="24"/>
          <w:szCs w:val="24"/>
        </w:rPr>
      </w:pPr>
    </w:p>
    <w:p w14:paraId="1C4BB271" w14:textId="7AD1BD0B" w:rsidR="003244AE" w:rsidRPr="00B07D70" w:rsidRDefault="00FA49C6" w:rsidP="00B07D70">
      <w:pPr>
        <w:pStyle w:val="ListParagraph"/>
        <w:numPr>
          <w:ilvl w:val="1"/>
          <w:numId w:val="21"/>
        </w:numPr>
        <w:spacing w:after="0" w:line="276" w:lineRule="auto"/>
        <w:rPr>
          <w:rFonts w:eastAsia="Times New Roman"/>
          <w:sz w:val="24"/>
          <w:szCs w:val="24"/>
          <w:lang w:eastAsia="en-GB"/>
          <w14:ligatures w14:val="none"/>
        </w:rPr>
      </w:pPr>
      <w:r w:rsidRPr="00B07D70">
        <w:rPr>
          <w:rFonts w:eastAsia="Times New Roman"/>
          <w:sz w:val="24"/>
          <w:szCs w:val="24"/>
          <w:lang w:eastAsia="en-GB"/>
          <w14:ligatures w14:val="none"/>
        </w:rPr>
        <w:t>As set out in</w:t>
      </w:r>
      <w:r w:rsidR="00780A1E" w:rsidRPr="00B07D70">
        <w:rPr>
          <w:rFonts w:eastAsia="Times New Roman"/>
          <w:sz w:val="24"/>
          <w:szCs w:val="24"/>
          <w:lang w:eastAsia="en-GB"/>
          <w14:ligatures w14:val="none"/>
        </w:rPr>
        <w:t xml:space="preserve"> section 10 of</w:t>
      </w:r>
      <w:r w:rsidRPr="00B07D70">
        <w:rPr>
          <w:rFonts w:eastAsia="Times New Roman"/>
          <w:sz w:val="24"/>
          <w:szCs w:val="24"/>
          <w:lang w:eastAsia="en-GB"/>
          <w14:ligatures w14:val="none"/>
        </w:rPr>
        <w:t xml:space="preserve"> SS17/16</w:t>
      </w:r>
      <w:r w:rsidR="002F4E25" w:rsidRPr="00C57C8C">
        <w:rPr>
          <w:sz w:val="24"/>
          <w:szCs w:val="24"/>
          <w:vertAlign w:val="superscript"/>
          <w:lang w:eastAsia="en-GB"/>
          <w14:ligatures w14:val="none"/>
        </w:rPr>
        <w:footnoteReference w:id="4"/>
      </w:r>
      <w:r w:rsidRPr="00B07D70">
        <w:rPr>
          <w:rFonts w:eastAsia="Times New Roman"/>
          <w:sz w:val="24"/>
          <w:szCs w:val="24"/>
          <w:lang w:eastAsia="en-GB"/>
          <w14:ligatures w14:val="none"/>
        </w:rPr>
        <w:t>, the PRA</w:t>
      </w:r>
      <w:r w:rsidR="003244AE" w:rsidRPr="00B07D70">
        <w:rPr>
          <w:rFonts w:eastAsia="Times New Roman"/>
          <w:sz w:val="24"/>
          <w:szCs w:val="24"/>
          <w:lang w:eastAsia="en-GB"/>
          <w14:ligatures w14:val="none"/>
        </w:rPr>
        <w:t xml:space="preserve"> may request a firm submit an AoC exercise to </w:t>
      </w:r>
      <w:r w:rsidR="00987491" w:rsidRPr="00B07D70">
        <w:rPr>
          <w:rFonts w:eastAsia="Times New Roman"/>
          <w:sz w:val="24"/>
          <w:szCs w:val="24"/>
          <w:lang w:eastAsia="en-GB"/>
          <w14:ligatures w14:val="none"/>
        </w:rPr>
        <w:t>support</w:t>
      </w:r>
      <w:r w:rsidR="003244AE" w:rsidRPr="00B07D70">
        <w:rPr>
          <w:rFonts w:eastAsia="Times New Roman"/>
          <w:sz w:val="24"/>
          <w:szCs w:val="24"/>
          <w:lang w:eastAsia="en-GB"/>
          <w14:ligatures w14:val="none"/>
        </w:rPr>
        <w:t xml:space="preserve"> the assessment of </w:t>
      </w:r>
      <w:r w:rsidR="0020238D" w:rsidRPr="00B07D70">
        <w:rPr>
          <w:rFonts w:eastAsia="Times New Roman"/>
          <w:sz w:val="24"/>
          <w:szCs w:val="24"/>
          <w:lang w:eastAsia="en-GB"/>
          <w14:ligatures w14:val="none"/>
        </w:rPr>
        <w:t>an IM application</w:t>
      </w:r>
      <w:r w:rsidR="003244AE" w:rsidRPr="00B07D70">
        <w:rPr>
          <w:rFonts w:eastAsia="Times New Roman"/>
          <w:sz w:val="24"/>
          <w:szCs w:val="24"/>
          <w:lang w:eastAsia="en-GB"/>
          <w14:ligatures w14:val="none"/>
        </w:rPr>
        <w:t xml:space="preserve">. </w:t>
      </w:r>
    </w:p>
    <w:p w14:paraId="7E0D640A" w14:textId="49508713" w:rsidR="005B2037" w:rsidRPr="00B07D70" w:rsidRDefault="002F10EA" w:rsidP="00B07D70">
      <w:pPr>
        <w:pStyle w:val="ListParagraph"/>
        <w:numPr>
          <w:ilvl w:val="1"/>
          <w:numId w:val="21"/>
        </w:numPr>
        <w:spacing w:after="0" w:line="276" w:lineRule="auto"/>
        <w:rPr>
          <w:rFonts w:eastAsia="Times New Roman"/>
          <w:sz w:val="24"/>
          <w:szCs w:val="24"/>
          <w:lang w:eastAsia="en-GB"/>
          <w14:ligatures w14:val="none"/>
        </w:rPr>
      </w:pPr>
      <w:r w:rsidRPr="00B07D70">
        <w:rPr>
          <w:rFonts w:eastAsia="Times New Roman"/>
          <w:sz w:val="24"/>
          <w:szCs w:val="24"/>
          <w:lang w:eastAsia="en-GB"/>
          <w14:ligatures w14:val="none"/>
        </w:rPr>
        <w:t>In addition, w</w:t>
      </w:r>
      <w:r w:rsidR="003244AE" w:rsidRPr="00B07D70">
        <w:rPr>
          <w:rFonts w:eastAsia="Times New Roman"/>
          <w:sz w:val="24"/>
          <w:szCs w:val="24"/>
          <w:lang w:eastAsia="en-GB"/>
          <w14:ligatures w14:val="none"/>
        </w:rPr>
        <w:t xml:space="preserve">here a firm considers a safeguard is needed due to </w:t>
      </w:r>
      <w:r w:rsidR="007C3C57" w:rsidRPr="00B07D70">
        <w:rPr>
          <w:rFonts w:eastAsia="Times New Roman"/>
          <w:sz w:val="24"/>
          <w:szCs w:val="24"/>
          <w:lang w:eastAsia="en-GB"/>
          <w14:ligatures w14:val="none"/>
        </w:rPr>
        <w:t>residual model limitations</w:t>
      </w:r>
      <w:r w:rsidR="003244AE" w:rsidRPr="00B07D70">
        <w:rPr>
          <w:rFonts w:eastAsia="Times New Roman"/>
          <w:sz w:val="24"/>
          <w:szCs w:val="24"/>
          <w:lang w:eastAsia="en-GB"/>
          <w14:ligatures w14:val="none"/>
        </w:rPr>
        <w:t xml:space="preserve"> </w:t>
      </w:r>
      <w:r w:rsidR="002C50EA" w:rsidRPr="00B07D70">
        <w:rPr>
          <w:rFonts w:eastAsia="Times New Roman"/>
          <w:sz w:val="24"/>
          <w:szCs w:val="24"/>
          <w:lang w:eastAsia="en-GB"/>
          <w14:ligatures w14:val="none"/>
        </w:rPr>
        <w:t xml:space="preserve">identified </w:t>
      </w:r>
      <w:r w:rsidR="003244AE" w:rsidRPr="00B07D70">
        <w:rPr>
          <w:rFonts w:eastAsia="Times New Roman"/>
          <w:sz w:val="24"/>
          <w:szCs w:val="24"/>
          <w:lang w:eastAsia="en-GB"/>
          <w14:ligatures w14:val="none"/>
        </w:rPr>
        <w:t xml:space="preserve">in the IM, this should be communicated to the PRA as soon as possible. </w:t>
      </w:r>
    </w:p>
    <w:bookmarkEnd w:id="0"/>
    <w:p w14:paraId="63B1BEEE" w14:textId="13E9A3F8" w:rsidR="00C93ED5" w:rsidRPr="00E61752" w:rsidRDefault="00C93ED5" w:rsidP="00147DAF">
      <w:pPr>
        <w:pStyle w:val="ListParagraph"/>
        <w:ind w:left="360"/>
        <w:rPr>
          <w:rFonts w:eastAsia="Times New Roman"/>
          <w:color w:val="000000" w:themeColor="text1"/>
          <w:sz w:val="24"/>
          <w:szCs w:val="24"/>
        </w:rPr>
      </w:pPr>
    </w:p>
    <w:p w14:paraId="1C760AED" w14:textId="2C3239B3" w:rsidR="00FF02BC" w:rsidRDefault="00346238" w:rsidP="00B07D70">
      <w:pPr>
        <w:pStyle w:val="ListParagraph"/>
        <w:numPr>
          <w:ilvl w:val="0"/>
          <w:numId w:val="1"/>
        </w:numPr>
        <w:spacing w:line="276" w:lineRule="auto"/>
        <w:rPr>
          <w:rFonts w:eastAsiaTheme="minorEastAsia"/>
          <w:b/>
          <w:bCs/>
          <w:sz w:val="24"/>
          <w:szCs w:val="24"/>
          <w:lang w:eastAsia="en-GB"/>
          <w14:ligatures w14:val="none"/>
        </w:rPr>
      </w:pPr>
      <w:r w:rsidRPr="00B07D70">
        <w:rPr>
          <w:rFonts w:eastAsiaTheme="minorEastAsia"/>
          <w:b/>
          <w:bCs/>
          <w:sz w:val="24"/>
          <w:szCs w:val="24"/>
          <w:lang w:eastAsia="en-GB"/>
          <w14:ligatures w14:val="none"/>
        </w:rPr>
        <w:t xml:space="preserve">How should firms submit information </w:t>
      </w:r>
      <w:r w:rsidR="00512BBD" w:rsidRPr="00B07D70">
        <w:rPr>
          <w:rFonts w:eastAsiaTheme="minorEastAsia"/>
          <w:b/>
          <w:bCs/>
          <w:sz w:val="24"/>
          <w:szCs w:val="24"/>
          <w:lang w:eastAsia="en-GB"/>
          <w14:ligatures w14:val="none"/>
        </w:rPr>
        <w:t>for the</w:t>
      </w:r>
      <w:r w:rsidR="00FF02BC" w:rsidRPr="00B07D70">
        <w:rPr>
          <w:rFonts w:eastAsiaTheme="minorEastAsia"/>
          <w:b/>
          <w:bCs/>
          <w:sz w:val="24"/>
          <w:szCs w:val="24"/>
          <w:lang w:eastAsia="en-GB"/>
          <w14:ligatures w14:val="none"/>
        </w:rPr>
        <w:t xml:space="preserve"> </w:t>
      </w:r>
      <w:r w:rsidR="00A024AB" w:rsidRPr="00B07D70">
        <w:rPr>
          <w:rFonts w:eastAsiaTheme="minorEastAsia"/>
          <w:b/>
          <w:bCs/>
          <w:sz w:val="24"/>
          <w:szCs w:val="24"/>
          <w:lang w:eastAsia="en-GB"/>
          <w14:ligatures w14:val="none"/>
        </w:rPr>
        <w:t>I</w:t>
      </w:r>
      <w:r w:rsidR="00017CC5" w:rsidRPr="00B07D70">
        <w:rPr>
          <w:rFonts w:eastAsiaTheme="minorEastAsia"/>
          <w:b/>
          <w:bCs/>
          <w:sz w:val="24"/>
          <w:szCs w:val="24"/>
          <w:lang w:eastAsia="en-GB"/>
          <w14:ligatures w14:val="none"/>
        </w:rPr>
        <w:t xml:space="preserve">MOR </w:t>
      </w:r>
      <w:r w:rsidR="00FF02BC" w:rsidRPr="00B07D70">
        <w:rPr>
          <w:rFonts w:eastAsiaTheme="minorEastAsia"/>
          <w:b/>
          <w:bCs/>
          <w:sz w:val="24"/>
          <w:szCs w:val="24"/>
          <w:lang w:eastAsia="en-GB"/>
          <w14:ligatures w14:val="none"/>
        </w:rPr>
        <w:t>framework</w:t>
      </w:r>
      <w:r w:rsidR="00512BBD" w:rsidRPr="00B07D70">
        <w:rPr>
          <w:rFonts w:eastAsiaTheme="minorEastAsia"/>
          <w:b/>
          <w:bCs/>
          <w:sz w:val="24"/>
          <w:szCs w:val="24"/>
          <w:lang w:eastAsia="en-GB"/>
          <w14:ligatures w14:val="none"/>
        </w:rPr>
        <w:t xml:space="preserve"> to the PRA</w:t>
      </w:r>
      <w:r w:rsidR="00FF02BC" w:rsidRPr="00B07D70">
        <w:rPr>
          <w:rFonts w:eastAsiaTheme="minorEastAsia"/>
          <w:b/>
          <w:bCs/>
          <w:sz w:val="24"/>
          <w:szCs w:val="24"/>
          <w:lang w:eastAsia="en-GB"/>
          <w14:ligatures w14:val="none"/>
        </w:rPr>
        <w:t>?</w:t>
      </w:r>
    </w:p>
    <w:p w14:paraId="74551126" w14:textId="77777777" w:rsidR="00D143E6" w:rsidRPr="00B07D70" w:rsidRDefault="00D143E6" w:rsidP="00D143E6">
      <w:pPr>
        <w:pStyle w:val="ListParagraph"/>
        <w:spacing w:line="276" w:lineRule="auto"/>
        <w:ind w:left="360"/>
        <w:rPr>
          <w:rFonts w:eastAsiaTheme="minorEastAsia"/>
          <w:b/>
          <w:bCs/>
          <w:sz w:val="24"/>
          <w:szCs w:val="24"/>
          <w:lang w:eastAsia="en-GB"/>
          <w14:ligatures w14:val="none"/>
        </w:rPr>
      </w:pPr>
    </w:p>
    <w:p w14:paraId="5B25E345" w14:textId="7E7FC634" w:rsidR="00FF02BC" w:rsidRPr="00D143E6" w:rsidRDefault="00FF02BC" w:rsidP="00D143E6">
      <w:pPr>
        <w:spacing w:after="260" w:line="300" w:lineRule="auto"/>
        <w:rPr>
          <w:rFonts w:eastAsia="Times New Roman" w:cs="Times New Roman"/>
          <w:sz w:val="24"/>
          <w:szCs w:val="22"/>
          <w14:ligatures w14:val="none"/>
        </w:rPr>
      </w:pPr>
      <w:r w:rsidRPr="00D143E6">
        <w:rPr>
          <w:rFonts w:eastAsia="Times New Roman" w:cs="Times New Roman"/>
          <w:sz w:val="24"/>
          <w:szCs w:val="22"/>
          <w14:ligatures w14:val="none"/>
        </w:rPr>
        <w:t xml:space="preserve">Details of the four strands of the IMOR framework are set out in section 5 of the IM SoP. </w:t>
      </w:r>
    </w:p>
    <w:p w14:paraId="3AE870A7" w14:textId="06E3AC36" w:rsidR="00FF02BC" w:rsidRPr="00D143E6" w:rsidRDefault="00147DAF" w:rsidP="00D143E6">
      <w:pPr>
        <w:spacing w:after="260" w:line="300" w:lineRule="auto"/>
        <w:rPr>
          <w:rFonts w:eastAsia="Times New Roman" w:cs="Times New Roman"/>
          <w:sz w:val="24"/>
          <w:szCs w:val="22"/>
          <w14:ligatures w14:val="none"/>
        </w:rPr>
      </w:pPr>
      <w:r w:rsidRPr="00D143E6">
        <w:rPr>
          <w:rFonts w:eastAsia="Times New Roman" w:cs="Times New Roman"/>
          <w:sz w:val="24"/>
          <w:szCs w:val="22"/>
          <w14:ligatures w14:val="none"/>
        </w:rPr>
        <w:t xml:space="preserve">Firms should </w:t>
      </w:r>
      <w:r w:rsidR="00512BBD" w:rsidRPr="00D143E6">
        <w:rPr>
          <w:rFonts w:eastAsia="Times New Roman" w:cs="Times New Roman"/>
          <w:sz w:val="24"/>
          <w:szCs w:val="22"/>
          <w14:ligatures w14:val="none"/>
        </w:rPr>
        <w:t>provide</w:t>
      </w:r>
      <w:r w:rsidRPr="00D143E6">
        <w:rPr>
          <w:rFonts w:eastAsia="Times New Roman" w:cs="Times New Roman"/>
          <w:sz w:val="24"/>
          <w:szCs w:val="22"/>
          <w14:ligatures w14:val="none"/>
        </w:rPr>
        <w:t xml:space="preserve"> the</w:t>
      </w:r>
      <w:r w:rsidR="00017CC5" w:rsidRPr="00D143E6">
        <w:rPr>
          <w:rFonts w:eastAsia="Times New Roman" w:cs="Times New Roman"/>
          <w:sz w:val="24"/>
          <w:szCs w:val="22"/>
          <w14:ligatures w14:val="none"/>
        </w:rPr>
        <w:t xml:space="preserve"> relevant</w:t>
      </w:r>
      <w:r w:rsidRPr="00D143E6">
        <w:rPr>
          <w:rFonts w:eastAsia="Times New Roman" w:cs="Times New Roman"/>
          <w:sz w:val="24"/>
          <w:szCs w:val="22"/>
          <w14:ligatures w14:val="none"/>
        </w:rPr>
        <w:t xml:space="preserve"> </w:t>
      </w:r>
      <w:r w:rsidR="00512BBD" w:rsidRPr="00D143E6">
        <w:rPr>
          <w:rFonts w:eastAsia="Times New Roman" w:cs="Times New Roman"/>
          <w:sz w:val="24"/>
          <w:szCs w:val="22"/>
          <w14:ligatures w14:val="none"/>
        </w:rPr>
        <w:t>submissions</w:t>
      </w:r>
      <w:r w:rsidR="00FF02BC" w:rsidRPr="00D143E6">
        <w:rPr>
          <w:rFonts w:eastAsia="Times New Roman" w:cs="Times New Roman"/>
          <w:sz w:val="24"/>
          <w:szCs w:val="22"/>
          <w14:ligatures w14:val="none"/>
        </w:rPr>
        <w:t xml:space="preserve"> (including the </w:t>
      </w:r>
      <w:r w:rsidR="0064148F" w:rsidRPr="00D143E6">
        <w:rPr>
          <w:rFonts w:eastAsia="Times New Roman" w:cs="Times New Roman"/>
          <w:sz w:val="24"/>
          <w:szCs w:val="22"/>
          <w14:ligatures w14:val="none"/>
        </w:rPr>
        <w:t>AoC</w:t>
      </w:r>
      <w:r w:rsidR="00512BBD" w:rsidRPr="00D143E6">
        <w:rPr>
          <w:rFonts w:eastAsia="Times New Roman" w:cs="Times New Roman"/>
          <w:sz w:val="24"/>
          <w:szCs w:val="22"/>
          <w14:ligatures w14:val="none"/>
        </w:rPr>
        <w:t xml:space="preserve"> exercise</w:t>
      </w:r>
      <w:r w:rsidR="00FF02BC" w:rsidRPr="00D143E6">
        <w:rPr>
          <w:rFonts w:eastAsia="Times New Roman" w:cs="Times New Roman"/>
          <w:sz w:val="24"/>
          <w:szCs w:val="22"/>
          <w14:ligatures w14:val="none"/>
        </w:rPr>
        <w:t xml:space="preserve">, quarterly model change </w:t>
      </w:r>
      <w:r w:rsidR="00512BBD" w:rsidRPr="00D143E6">
        <w:rPr>
          <w:rFonts w:eastAsia="Times New Roman" w:cs="Times New Roman"/>
          <w:sz w:val="24"/>
          <w:szCs w:val="22"/>
          <w14:ligatures w14:val="none"/>
        </w:rPr>
        <w:t>information</w:t>
      </w:r>
      <w:r w:rsidR="00FF02BC" w:rsidRPr="00D143E6">
        <w:rPr>
          <w:rFonts w:eastAsia="Times New Roman" w:cs="Times New Roman"/>
          <w:sz w:val="24"/>
          <w:szCs w:val="22"/>
          <w14:ligatures w14:val="none"/>
        </w:rPr>
        <w:t xml:space="preserve">, attestation </w:t>
      </w:r>
      <w:r w:rsidR="00EB040F" w:rsidRPr="00D143E6">
        <w:rPr>
          <w:rFonts w:eastAsia="Times New Roman" w:cs="Times New Roman"/>
          <w:sz w:val="24"/>
          <w:szCs w:val="22"/>
          <w14:ligatures w14:val="none"/>
        </w:rPr>
        <w:t xml:space="preserve">of </w:t>
      </w:r>
      <w:r w:rsidR="00512BBD" w:rsidRPr="00D143E6">
        <w:rPr>
          <w:rFonts w:eastAsia="Times New Roman" w:cs="Times New Roman"/>
          <w:sz w:val="24"/>
          <w:szCs w:val="22"/>
          <w14:ligatures w14:val="none"/>
        </w:rPr>
        <w:t xml:space="preserve">ongoing </w:t>
      </w:r>
      <w:r w:rsidR="00EB040F" w:rsidRPr="00D143E6">
        <w:rPr>
          <w:rFonts w:eastAsia="Times New Roman" w:cs="Times New Roman"/>
          <w:sz w:val="24"/>
          <w:szCs w:val="22"/>
          <w14:ligatures w14:val="none"/>
        </w:rPr>
        <w:t xml:space="preserve">compliance </w:t>
      </w:r>
      <w:r w:rsidR="00FF02BC" w:rsidRPr="00D143E6">
        <w:rPr>
          <w:rFonts w:eastAsia="Times New Roman" w:cs="Times New Roman"/>
          <w:sz w:val="24"/>
          <w:szCs w:val="22"/>
          <w14:ligatures w14:val="none"/>
        </w:rPr>
        <w:t>and corresponding validation report)</w:t>
      </w:r>
      <w:r w:rsidRPr="00D143E6">
        <w:rPr>
          <w:rFonts w:eastAsia="Times New Roman" w:cs="Times New Roman"/>
          <w:sz w:val="24"/>
          <w:szCs w:val="22"/>
          <w14:ligatures w14:val="none"/>
        </w:rPr>
        <w:t xml:space="preserve"> via the PRA BEEDs portal</w:t>
      </w:r>
      <w:r w:rsidR="00A4780A" w:rsidRPr="00D143E6">
        <w:rPr>
          <w:rFonts w:eastAsia="Times New Roman" w:cs="Times New Roman"/>
          <w:sz w:val="24"/>
          <w:szCs w:val="22"/>
          <w14:ligatures w14:val="none"/>
        </w:rPr>
        <w:t xml:space="preserve"> as </w:t>
      </w:r>
      <w:r w:rsidR="00512BBD" w:rsidRPr="00D143E6">
        <w:rPr>
          <w:rFonts w:eastAsia="Times New Roman" w:cs="Times New Roman"/>
          <w:sz w:val="24"/>
          <w:szCs w:val="22"/>
          <w14:ligatures w14:val="none"/>
        </w:rPr>
        <w:t>'</w:t>
      </w:r>
      <w:r w:rsidRPr="00D143E6">
        <w:rPr>
          <w:rFonts w:eastAsia="Times New Roman" w:cs="Times New Roman"/>
          <w:sz w:val="24"/>
          <w:szCs w:val="22"/>
          <w14:ligatures w14:val="none"/>
        </w:rPr>
        <w:t>occasional submissions</w:t>
      </w:r>
      <w:r w:rsidR="00512BBD" w:rsidRPr="00D143E6">
        <w:rPr>
          <w:rFonts w:eastAsia="Times New Roman" w:cs="Times New Roman"/>
          <w:sz w:val="24"/>
          <w:szCs w:val="22"/>
          <w14:ligatures w14:val="none"/>
        </w:rPr>
        <w:t>’</w:t>
      </w:r>
      <w:r w:rsidRPr="00D143E6">
        <w:rPr>
          <w:rFonts w:eastAsia="Times New Roman" w:cs="Times New Roman"/>
          <w:sz w:val="24"/>
          <w:szCs w:val="22"/>
          <w14:ligatures w14:val="none"/>
        </w:rPr>
        <w:t xml:space="preserve">. </w:t>
      </w:r>
    </w:p>
    <w:p w14:paraId="3678FA7B" w14:textId="0CFB34C6" w:rsidR="00147DAF" w:rsidRPr="00D143E6" w:rsidRDefault="00C93ED5" w:rsidP="00D143E6">
      <w:pPr>
        <w:spacing w:after="260" w:line="300" w:lineRule="auto"/>
        <w:rPr>
          <w:rFonts w:eastAsia="Times New Roman" w:cs="Times New Roman"/>
          <w:sz w:val="24"/>
          <w:szCs w:val="22"/>
          <w14:ligatures w14:val="none"/>
        </w:rPr>
      </w:pPr>
      <w:r w:rsidRPr="00D143E6">
        <w:rPr>
          <w:rFonts w:eastAsia="Times New Roman" w:cs="Times New Roman"/>
          <w:sz w:val="24"/>
          <w:szCs w:val="22"/>
          <w14:ligatures w14:val="none"/>
        </w:rPr>
        <w:t>T</w:t>
      </w:r>
      <w:r w:rsidR="005B2037" w:rsidRPr="00D143E6">
        <w:rPr>
          <w:rFonts w:eastAsia="Times New Roman" w:cs="Times New Roman"/>
          <w:sz w:val="24"/>
          <w:szCs w:val="22"/>
          <w14:ligatures w14:val="none"/>
        </w:rPr>
        <w:t xml:space="preserve">he PRA will consider </w:t>
      </w:r>
      <w:r w:rsidRPr="00D143E6">
        <w:rPr>
          <w:rFonts w:eastAsia="Times New Roman" w:cs="Times New Roman"/>
          <w:sz w:val="24"/>
          <w:szCs w:val="22"/>
          <w14:ligatures w14:val="none"/>
        </w:rPr>
        <w:t xml:space="preserve">the </w:t>
      </w:r>
      <w:r w:rsidR="005B2037" w:rsidRPr="00D143E6">
        <w:rPr>
          <w:rFonts w:eastAsia="Times New Roman" w:cs="Times New Roman"/>
          <w:sz w:val="24"/>
          <w:szCs w:val="22"/>
          <w14:ligatures w14:val="none"/>
        </w:rPr>
        <w:t>information</w:t>
      </w:r>
      <w:r w:rsidRPr="00D143E6">
        <w:rPr>
          <w:rFonts w:eastAsia="Times New Roman" w:cs="Times New Roman"/>
          <w:sz w:val="24"/>
          <w:szCs w:val="22"/>
          <w14:ligatures w14:val="none"/>
        </w:rPr>
        <w:t xml:space="preserve"> </w:t>
      </w:r>
      <w:r w:rsidR="005B2037" w:rsidRPr="00D143E6">
        <w:rPr>
          <w:rFonts w:eastAsia="Times New Roman" w:cs="Times New Roman"/>
          <w:sz w:val="24"/>
          <w:szCs w:val="22"/>
          <w14:ligatures w14:val="none"/>
        </w:rPr>
        <w:t xml:space="preserve">provided by the firm </w:t>
      </w:r>
      <w:r w:rsidRPr="00D143E6">
        <w:rPr>
          <w:rFonts w:eastAsia="Times New Roman" w:cs="Times New Roman"/>
          <w:sz w:val="24"/>
          <w:szCs w:val="22"/>
          <w14:ligatures w14:val="none"/>
        </w:rPr>
        <w:t xml:space="preserve">set out in paragraph 6.4 of the </w:t>
      </w:r>
      <w:r w:rsidR="00A024AB" w:rsidRPr="00D143E6">
        <w:rPr>
          <w:rFonts w:eastAsia="Times New Roman" w:cs="Times New Roman"/>
          <w:sz w:val="24"/>
          <w:szCs w:val="22"/>
          <w14:ligatures w14:val="none"/>
        </w:rPr>
        <w:t>capital add-on</w:t>
      </w:r>
      <w:r w:rsidRPr="00D143E6">
        <w:rPr>
          <w:rFonts w:eastAsia="Times New Roman" w:cs="Times New Roman"/>
          <w:sz w:val="24"/>
          <w:szCs w:val="22"/>
          <w14:ligatures w14:val="none"/>
        </w:rPr>
        <w:t xml:space="preserve"> SoP</w:t>
      </w:r>
      <w:r w:rsidR="00A024AB" w:rsidRPr="00C57C8C">
        <w:rPr>
          <w:rFonts w:eastAsia="Times New Roman" w:cs="Times New Roman"/>
          <w:sz w:val="24"/>
          <w:szCs w:val="28"/>
          <w:vertAlign w:val="superscript"/>
          <w14:ligatures w14:val="none"/>
        </w:rPr>
        <w:footnoteReference w:id="5"/>
      </w:r>
      <w:r w:rsidRPr="00D143E6">
        <w:rPr>
          <w:rFonts w:eastAsia="Times New Roman" w:cs="Times New Roman"/>
          <w:sz w:val="24"/>
          <w:szCs w:val="22"/>
          <w14:ligatures w14:val="none"/>
        </w:rPr>
        <w:t xml:space="preserve"> </w:t>
      </w:r>
      <w:r w:rsidR="005B2037" w:rsidRPr="00D143E6">
        <w:rPr>
          <w:rFonts w:eastAsia="Times New Roman" w:cs="Times New Roman"/>
          <w:sz w:val="24"/>
          <w:szCs w:val="22"/>
          <w14:ligatures w14:val="none"/>
        </w:rPr>
        <w:t>when deciding whether to maintain, vary or remove a safeguard.</w:t>
      </w:r>
      <w:r w:rsidRPr="00D143E6">
        <w:rPr>
          <w:rFonts w:eastAsia="Times New Roman" w:cs="Times New Roman"/>
          <w:sz w:val="24"/>
          <w:szCs w:val="22"/>
          <w14:ligatures w14:val="none"/>
        </w:rPr>
        <w:t xml:space="preserve"> Firms should send relevant information to their supervisory contact.</w:t>
      </w:r>
    </w:p>
    <w:p w14:paraId="5F71693D" w14:textId="77777777" w:rsidR="006B1510" w:rsidRDefault="006B1510" w:rsidP="00147DAF">
      <w:pPr>
        <w:pStyle w:val="ListParagraph"/>
        <w:ind w:left="360"/>
        <w:rPr>
          <w:rFonts w:eastAsia="Times New Roman"/>
          <w:b/>
          <w:bCs/>
          <w:i/>
          <w:iCs/>
          <w:color w:val="000000" w:themeColor="text1"/>
          <w:sz w:val="24"/>
          <w:szCs w:val="24"/>
        </w:rPr>
      </w:pPr>
    </w:p>
    <w:p w14:paraId="6AEDCC56" w14:textId="77777777" w:rsidR="00D143E6" w:rsidRDefault="00D143E6" w:rsidP="00D143E6">
      <w:pPr>
        <w:spacing w:after="0" w:line="300" w:lineRule="auto"/>
        <w:rPr>
          <w:rFonts w:eastAsia="Times New Roman"/>
          <w:sz w:val="24"/>
          <w:szCs w:val="24"/>
          <w:lang w:eastAsia="en-GB"/>
          <w14:ligatures w14:val="none"/>
        </w:rPr>
      </w:pPr>
    </w:p>
    <w:p w14:paraId="6A5BC583" w14:textId="7EB7C42C" w:rsidR="006752EA" w:rsidRPr="00D143E6" w:rsidRDefault="006752EA" w:rsidP="00D143E6">
      <w:pPr>
        <w:spacing w:after="0" w:line="300" w:lineRule="auto"/>
        <w:rPr>
          <w:rFonts w:eastAsia="Times New Roman"/>
          <w:sz w:val="24"/>
          <w:szCs w:val="24"/>
          <w:lang w:eastAsia="en-GB"/>
          <w14:ligatures w14:val="none"/>
        </w:rPr>
      </w:pPr>
      <w:r w:rsidRPr="00D143E6">
        <w:rPr>
          <w:rFonts w:eastAsia="Times New Roman"/>
          <w:sz w:val="24"/>
          <w:szCs w:val="24"/>
          <w:lang w:eastAsia="en-GB"/>
          <w14:ligatures w14:val="none"/>
        </w:rPr>
        <w:t xml:space="preserve">For all other questions, please reach out to your supervisory contact. </w:t>
      </w:r>
    </w:p>
    <w:sectPr w:rsidR="006752EA" w:rsidRPr="00D143E6" w:rsidSect="00DB1F04">
      <w:headerReference w:type="default" r:id="rId9"/>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CD762" w14:textId="77777777" w:rsidR="00CD179D" w:rsidRDefault="00CD179D" w:rsidP="00BD6D64">
      <w:pPr>
        <w:spacing w:after="0"/>
      </w:pPr>
      <w:r>
        <w:separator/>
      </w:r>
    </w:p>
  </w:endnote>
  <w:endnote w:type="continuationSeparator" w:id="0">
    <w:p w14:paraId="0C81EB15" w14:textId="77777777" w:rsidR="00CD179D" w:rsidRDefault="00CD179D" w:rsidP="00BD6D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F5166" w14:textId="77777777" w:rsidR="00CD179D" w:rsidRDefault="00CD179D" w:rsidP="00BD6D64">
      <w:pPr>
        <w:spacing w:after="0"/>
      </w:pPr>
      <w:r>
        <w:separator/>
      </w:r>
    </w:p>
  </w:footnote>
  <w:footnote w:type="continuationSeparator" w:id="0">
    <w:p w14:paraId="389DA4C1" w14:textId="77777777" w:rsidR="00CD179D" w:rsidRDefault="00CD179D" w:rsidP="00BD6D64">
      <w:pPr>
        <w:spacing w:after="0"/>
      </w:pPr>
      <w:r>
        <w:continuationSeparator/>
      </w:r>
    </w:p>
  </w:footnote>
  <w:footnote w:id="1">
    <w:p w14:paraId="4B9C2C9C" w14:textId="596D2BDA" w:rsidR="009918C3" w:rsidRPr="00D143E6" w:rsidRDefault="009918C3" w:rsidP="00D143E6">
      <w:pPr>
        <w:pStyle w:val="FootnoteText"/>
        <w:tabs>
          <w:tab w:val="left" w:pos="340"/>
        </w:tabs>
        <w:spacing w:line="300" w:lineRule="auto"/>
        <w:ind w:left="340" w:hanging="340"/>
        <w:rPr>
          <w:rStyle w:val="Hyperlink"/>
          <w:rFonts w:eastAsia="Times New Roman" w:cs="Times New Roman"/>
          <w:b/>
          <w:color w:val="1F497D" w:themeColor="text2"/>
          <w:u w:color="3CD7D8"/>
          <w:lang w:eastAsia="en-GB"/>
          <w14:ligatures w14:val="none"/>
        </w:rPr>
      </w:pPr>
      <w:r w:rsidRPr="00D143E6">
        <w:rPr>
          <w:rStyle w:val="Hyperlink"/>
          <w:rFonts w:eastAsia="Times New Roman" w:cs="Times New Roman"/>
          <w:b/>
          <w:color w:val="1F497D" w:themeColor="text2"/>
          <w:u w:color="3CD7D8"/>
          <w:lang w:eastAsia="en-GB"/>
          <w14:ligatures w14:val="none"/>
        </w:rPr>
        <w:footnoteRef/>
      </w:r>
      <w:r w:rsidR="00D143E6" w:rsidRPr="00D143E6">
        <w:rPr>
          <w:rStyle w:val="Hyperlink"/>
          <w:rFonts w:eastAsia="Times New Roman" w:cs="Times New Roman"/>
          <w:b/>
          <w:color w:val="1F497D" w:themeColor="text2"/>
          <w:u w:color="3CD7D8"/>
          <w:lang w:eastAsia="en-GB"/>
          <w14:ligatures w14:val="none"/>
        </w:rPr>
        <w:t xml:space="preserve"> </w:t>
      </w:r>
      <w:hyperlink r:id="rId1" w:anchor=":~:text=Solvency%20II%20internal%20models%3A%20Permissions%20and%20ongoing%20monitoring,-Statement%20of%20policy&amp;text=This%20statement%20of%20policy%20(SoP,Solvency%20Capital%20Requirement%20(SCR)." w:history="1">
        <w:r w:rsidRPr="00D143E6">
          <w:rPr>
            <w:rStyle w:val="Hyperlink"/>
            <w:rFonts w:eastAsia="Times New Roman" w:cs="Times New Roman"/>
            <w:b/>
            <w:color w:val="1F497D" w:themeColor="text2"/>
            <w:u w:color="3CD7D8"/>
            <w:lang w:eastAsia="en-GB"/>
            <w14:ligatures w14:val="none"/>
          </w:rPr>
          <w:t>Solvency II internal models: Permissions and ongoing monitoring | Bank of England</w:t>
        </w:r>
      </w:hyperlink>
    </w:p>
  </w:footnote>
  <w:footnote w:id="2">
    <w:p w14:paraId="0BDB6286" w14:textId="6BE269C4" w:rsidR="009918C3" w:rsidRPr="00D143E6" w:rsidRDefault="009918C3" w:rsidP="00D143E6">
      <w:pPr>
        <w:pStyle w:val="FootnoteText"/>
        <w:tabs>
          <w:tab w:val="left" w:pos="340"/>
        </w:tabs>
        <w:spacing w:line="300" w:lineRule="auto"/>
        <w:ind w:left="340" w:hanging="340"/>
        <w:rPr>
          <w:rStyle w:val="Hyperlink"/>
          <w:rFonts w:eastAsia="Times New Roman" w:cs="Times New Roman"/>
          <w:b/>
          <w:color w:val="1F497D" w:themeColor="text2"/>
          <w:u w:color="3CD7D8"/>
          <w:lang w:eastAsia="en-GB"/>
          <w14:ligatures w14:val="none"/>
        </w:rPr>
      </w:pPr>
      <w:r w:rsidRPr="00D143E6">
        <w:rPr>
          <w:rStyle w:val="Hyperlink"/>
          <w:rFonts w:eastAsia="Times New Roman" w:cs="Times New Roman"/>
          <w:b/>
          <w:color w:val="1F497D" w:themeColor="text2"/>
          <w:u w:color="3CD7D8"/>
          <w:lang w:eastAsia="en-GB"/>
          <w14:ligatures w14:val="none"/>
        </w:rPr>
        <w:footnoteRef/>
      </w:r>
      <w:r w:rsidRPr="00D143E6">
        <w:rPr>
          <w:rStyle w:val="Hyperlink"/>
          <w:rFonts w:eastAsia="Times New Roman" w:cs="Times New Roman"/>
          <w:b/>
          <w:color w:val="1F497D" w:themeColor="text2"/>
          <w:u w:color="3CD7D8"/>
          <w:lang w:eastAsia="en-GB"/>
          <w14:ligatures w14:val="none"/>
        </w:rPr>
        <w:t xml:space="preserve"> </w:t>
      </w:r>
      <w:hyperlink r:id="rId2" w:history="1">
        <w:r w:rsidRPr="00D143E6">
          <w:rPr>
            <w:rStyle w:val="Hyperlink"/>
            <w:rFonts w:eastAsia="Times New Roman" w:cs="Times New Roman"/>
            <w:b/>
            <w:color w:val="1F497D" w:themeColor="text2"/>
            <w:u w:color="3CD7D8"/>
            <w:lang w:eastAsia="en-GB"/>
            <w14:ligatures w14:val="none"/>
          </w:rPr>
          <w:t>Solvency II: Capital add-ons | Bank of England</w:t>
        </w:r>
      </w:hyperlink>
    </w:p>
  </w:footnote>
  <w:footnote w:id="3">
    <w:p w14:paraId="147E5FEE" w14:textId="28A16A2E" w:rsidR="009918C3" w:rsidRPr="004230AA" w:rsidRDefault="009918C3" w:rsidP="00D143E6">
      <w:pPr>
        <w:pStyle w:val="FootnoteText"/>
        <w:tabs>
          <w:tab w:val="left" w:pos="340"/>
        </w:tabs>
        <w:spacing w:line="300" w:lineRule="auto"/>
        <w:ind w:left="340" w:hanging="340"/>
        <w:rPr>
          <w:b/>
          <w:u w:color="3CD7D8"/>
        </w:rPr>
      </w:pPr>
      <w:r w:rsidRPr="004230AA">
        <w:rPr>
          <w:rStyle w:val="Hyperlink"/>
          <w:rFonts w:eastAsia="Times New Roman" w:cs="Times New Roman"/>
          <w:b/>
          <w:color w:val="1F497D" w:themeColor="text2"/>
          <w:u w:color="3CD7D8"/>
          <w:lang w:eastAsia="en-GB"/>
          <w14:ligatures w14:val="none"/>
        </w:rPr>
        <w:footnoteRef/>
      </w:r>
      <w:r w:rsidRPr="004230AA">
        <w:rPr>
          <w:rStyle w:val="Hyperlink"/>
          <w:rFonts w:eastAsia="Times New Roman" w:cs="Times New Roman"/>
          <w:b/>
          <w:color w:val="1F497D" w:themeColor="text2"/>
          <w:u w:color="3CD7D8"/>
          <w:lang w:eastAsia="en-GB"/>
          <w14:ligatures w14:val="none"/>
        </w:rPr>
        <w:t xml:space="preserve"> </w:t>
      </w:r>
      <w:hyperlink r:id="rId3" w:history="1">
        <w:r w:rsidR="004230AA" w:rsidRPr="004230AA">
          <w:rPr>
            <w:rStyle w:val="Hyperlink"/>
            <w:b/>
            <w:color w:val="1F497D" w:themeColor="text2"/>
            <w:u w:color="3CD7D8"/>
          </w:rPr>
          <w:t>Insurance rule permissions and notifications | Bank of England</w:t>
        </w:r>
      </w:hyperlink>
    </w:p>
  </w:footnote>
  <w:footnote w:id="4">
    <w:p w14:paraId="4DCCA134" w14:textId="2E9F6797" w:rsidR="002F4E25" w:rsidRPr="00D143E6" w:rsidRDefault="002F4E25" w:rsidP="00D143E6">
      <w:pPr>
        <w:pStyle w:val="FootnoteText"/>
        <w:tabs>
          <w:tab w:val="left" w:pos="340"/>
        </w:tabs>
        <w:spacing w:line="300" w:lineRule="auto"/>
        <w:ind w:left="340" w:hanging="340"/>
        <w:rPr>
          <w:rStyle w:val="Hyperlink"/>
          <w:rFonts w:eastAsia="Times New Roman" w:cs="Times New Roman"/>
          <w:b/>
          <w:color w:val="1F497D" w:themeColor="text2"/>
          <w:u w:color="3CD7D8"/>
          <w:lang w:eastAsia="en-GB"/>
          <w14:ligatures w14:val="none"/>
        </w:rPr>
      </w:pPr>
      <w:r w:rsidRPr="00D143E6">
        <w:rPr>
          <w:rStyle w:val="Hyperlink"/>
          <w:rFonts w:eastAsia="Times New Roman" w:cs="Times New Roman"/>
          <w:b/>
          <w:color w:val="1F497D" w:themeColor="text2"/>
          <w:u w:color="3CD7D8"/>
          <w:lang w:eastAsia="en-GB"/>
          <w14:ligatures w14:val="none"/>
        </w:rPr>
        <w:footnoteRef/>
      </w:r>
      <w:r w:rsidRPr="00D143E6">
        <w:rPr>
          <w:rStyle w:val="Hyperlink"/>
          <w:rFonts w:eastAsia="Times New Roman" w:cs="Times New Roman"/>
          <w:b/>
          <w:color w:val="1F497D" w:themeColor="text2"/>
          <w:u w:color="3CD7D8"/>
          <w:lang w:eastAsia="en-GB"/>
          <w14:ligatures w14:val="none"/>
        </w:rPr>
        <w:t xml:space="preserve"> </w:t>
      </w:r>
      <w:hyperlink r:id="rId4" w:history="1">
        <w:r w:rsidRPr="00D143E6">
          <w:rPr>
            <w:rStyle w:val="Hyperlink"/>
            <w:rFonts w:eastAsia="Times New Roman" w:cs="Times New Roman"/>
            <w:b/>
            <w:color w:val="1F497D" w:themeColor="text2"/>
            <w:u w:color="3CD7D8"/>
            <w:lang w:eastAsia="en-GB"/>
            <w14:ligatures w14:val="none"/>
          </w:rPr>
          <w:t>SS17/16 – Solvency II: internal models – assessment, model change and the role of non-executive directors | Bank of England</w:t>
        </w:r>
      </w:hyperlink>
    </w:p>
  </w:footnote>
  <w:footnote w:id="5">
    <w:p w14:paraId="3F8E916D" w14:textId="77777777" w:rsidR="00A024AB" w:rsidRDefault="00A024AB" w:rsidP="00D143E6">
      <w:pPr>
        <w:pStyle w:val="FootnoteText"/>
        <w:tabs>
          <w:tab w:val="left" w:pos="340"/>
        </w:tabs>
        <w:spacing w:line="300" w:lineRule="auto"/>
        <w:ind w:left="340" w:hanging="340"/>
      </w:pPr>
      <w:r w:rsidRPr="00D143E6">
        <w:rPr>
          <w:rStyle w:val="Hyperlink"/>
          <w:rFonts w:eastAsia="Times New Roman" w:cs="Times New Roman"/>
          <w:b/>
          <w:color w:val="1F497D" w:themeColor="text2"/>
          <w:u w:color="3CD7D8"/>
          <w:lang w:eastAsia="en-GB"/>
          <w14:ligatures w14:val="none"/>
        </w:rPr>
        <w:footnoteRef/>
      </w:r>
      <w:r w:rsidRPr="00D143E6">
        <w:rPr>
          <w:rStyle w:val="Hyperlink"/>
          <w:rFonts w:eastAsia="Times New Roman" w:cs="Times New Roman"/>
          <w:b/>
          <w:color w:val="1F497D" w:themeColor="text2"/>
          <w:u w:color="3CD7D8"/>
          <w:lang w:eastAsia="en-GB"/>
          <w14:ligatures w14:val="none"/>
        </w:rPr>
        <w:t xml:space="preserve"> </w:t>
      </w:r>
      <w:hyperlink r:id="rId5" w:history="1">
        <w:r w:rsidRPr="00D143E6">
          <w:rPr>
            <w:rStyle w:val="Hyperlink"/>
            <w:rFonts w:eastAsia="Times New Roman" w:cs="Times New Roman"/>
            <w:b/>
            <w:color w:val="1F497D" w:themeColor="text2"/>
            <w:u w:color="3CD7D8"/>
            <w:lang w:eastAsia="en-GB"/>
            <w14:ligatures w14:val="none"/>
          </w:rPr>
          <w:t>Solvency II: Capital add-ons | Bank of England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FB84" w14:textId="129730D7" w:rsidR="00B16839" w:rsidRDefault="00B07D70">
    <w:pPr>
      <w:pStyle w:val="Header"/>
    </w:pPr>
    <w:r w:rsidRPr="00CD4FBB">
      <w:rPr>
        <w:rFonts w:ascii="Century Gothic" w:hAnsi="Century Gothic"/>
        <w:noProof/>
        <w:sz w:val="40"/>
        <w:szCs w:val="40"/>
      </w:rPr>
      <w:drawing>
        <wp:anchor distT="0" distB="0" distL="114300" distR="114300" simplePos="0" relativeHeight="251659264" behindDoc="0" locked="0" layoutInCell="1" allowOverlap="1" wp14:anchorId="4D3960AD" wp14:editId="2D3EAC02">
          <wp:simplePos x="0" y="0"/>
          <wp:positionH relativeFrom="page">
            <wp:posOffset>630555</wp:posOffset>
          </wp:positionH>
          <wp:positionV relativeFrom="page">
            <wp:posOffset>448945</wp:posOffset>
          </wp:positionV>
          <wp:extent cx="2814320" cy="283845"/>
          <wp:effectExtent l="0" t="0" r="5080" b="1905"/>
          <wp:wrapNone/>
          <wp:docPr id="10" name="BO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4320" cy="283845"/>
                  </a:xfrm>
                  <a:prstGeom prst="rect">
                    <a:avLst/>
                  </a:prstGeom>
                </pic:spPr>
              </pic:pic>
            </a:graphicData>
          </a:graphic>
          <wp14:sizeRelH relativeFrom="margin">
            <wp14:pctWidth>0</wp14:pctWidth>
          </wp14:sizeRelH>
          <wp14:sizeRelV relativeFrom="margin">
            <wp14:pctHeight>0</wp14:pctHeight>
          </wp14:sizeRelV>
        </wp:anchor>
      </w:drawing>
    </w:r>
  </w:p>
  <w:p w14:paraId="74B9AF72" w14:textId="77777777" w:rsidR="00B07D70" w:rsidRDefault="00B07D70">
    <w:pPr>
      <w:pStyle w:val="Header"/>
    </w:pPr>
  </w:p>
  <w:p w14:paraId="1D2DD3A4" w14:textId="77777777" w:rsidR="00B07D70" w:rsidRDefault="00B07D70">
    <w:pPr>
      <w:pStyle w:val="Header"/>
    </w:pPr>
  </w:p>
  <w:p w14:paraId="2AF97FDB" w14:textId="77777777" w:rsidR="00B07D70" w:rsidRDefault="00B07D70">
    <w:pPr>
      <w:pStyle w:val="Header"/>
    </w:pPr>
  </w:p>
  <w:p w14:paraId="6F591A4B" w14:textId="77777777" w:rsidR="00B07D70" w:rsidRDefault="00B07D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6FE1"/>
    <w:multiLevelType w:val="hybridMultilevel"/>
    <w:tmpl w:val="DADA974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16DB2"/>
    <w:multiLevelType w:val="hybridMultilevel"/>
    <w:tmpl w:val="01906560"/>
    <w:lvl w:ilvl="0" w:tplc="770EEA54">
      <w:numFmt w:val="bullet"/>
      <w:lvlText w:val="-"/>
      <w:lvlJc w:val="left"/>
      <w:pPr>
        <w:ind w:left="360" w:hanging="360"/>
      </w:pPr>
      <w:rPr>
        <w:rFonts w:ascii="Arial" w:eastAsiaTheme="minorHAnsi" w:hAnsi="Arial" w:cs="Aria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0E0A5662"/>
    <w:multiLevelType w:val="hybridMultilevel"/>
    <w:tmpl w:val="4E324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01000"/>
    <w:multiLevelType w:val="hybridMultilevel"/>
    <w:tmpl w:val="E4E6093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3FF5302"/>
    <w:multiLevelType w:val="hybridMultilevel"/>
    <w:tmpl w:val="E2C07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51CAA"/>
    <w:multiLevelType w:val="hybridMultilevel"/>
    <w:tmpl w:val="B8CE3434"/>
    <w:lvl w:ilvl="0" w:tplc="37C01176">
      <w:start w:val="1"/>
      <w:numFmt w:val="lowerLetter"/>
      <w:lvlText w:val="%1)"/>
      <w:lvlJc w:val="left"/>
      <w:pPr>
        <w:ind w:left="1020" w:hanging="360"/>
      </w:pPr>
    </w:lvl>
    <w:lvl w:ilvl="1" w:tplc="4F06EBFE">
      <w:start w:val="1"/>
      <w:numFmt w:val="lowerLetter"/>
      <w:lvlText w:val="%2)"/>
      <w:lvlJc w:val="left"/>
      <w:pPr>
        <w:ind w:left="1020" w:hanging="360"/>
      </w:pPr>
    </w:lvl>
    <w:lvl w:ilvl="2" w:tplc="0A248528">
      <w:start w:val="1"/>
      <w:numFmt w:val="lowerLetter"/>
      <w:lvlText w:val="%3)"/>
      <w:lvlJc w:val="left"/>
      <w:pPr>
        <w:ind w:left="1020" w:hanging="360"/>
      </w:pPr>
    </w:lvl>
    <w:lvl w:ilvl="3" w:tplc="C754543A">
      <w:start w:val="1"/>
      <w:numFmt w:val="lowerLetter"/>
      <w:lvlText w:val="%4)"/>
      <w:lvlJc w:val="left"/>
      <w:pPr>
        <w:ind w:left="1020" w:hanging="360"/>
      </w:pPr>
    </w:lvl>
    <w:lvl w:ilvl="4" w:tplc="C98213D8">
      <w:start w:val="1"/>
      <w:numFmt w:val="lowerLetter"/>
      <w:lvlText w:val="%5)"/>
      <w:lvlJc w:val="left"/>
      <w:pPr>
        <w:ind w:left="1020" w:hanging="360"/>
      </w:pPr>
    </w:lvl>
    <w:lvl w:ilvl="5" w:tplc="B464DD0E">
      <w:start w:val="1"/>
      <w:numFmt w:val="lowerLetter"/>
      <w:lvlText w:val="%6)"/>
      <w:lvlJc w:val="left"/>
      <w:pPr>
        <w:ind w:left="1020" w:hanging="360"/>
      </w:pPr>
    </w:lvl>
    <w:lvl w:ilvl="6" w:tplc="F6F0D6C0">
      <w:start w:val="1"/>
      <w:numFmt w:val="lowerLetter"/>
      <w:lvlText w:val="%7)"/>
      <w:lvlJc w:val="left"/>
      <w:pPr>
        <w:ind w:left="1020" w:hanging="360"/>
      </w:pPr>
    </w:lvl>
    <w:lvl w:ilvl="7" w:tplc="1396A760">
      <w:start w:val="1"/>
      <w:numFmt w:val="lowerLetter"/>
      <w:lvlText w:val="%8)"/>
      <w:lvlJc w:val="left"/>
      <w:pPr>
        <w:ind w:left="1020" w:hanging="360"/>
      </w:pPr>
    </w:lvl>
    <w:lvl w:ilvl="8" w:tplc="8ED64AA6">
      <w:start w:val="1"/>
      <w:numFmt w:val="lowerLetter"/>
      <w:lvlText w:val="%9)"/>
      <w:lvlJc w:val="left"/>
      <w:pPr>
        <w:ind w:left="1020" w:hanging="360"/>
      </w:pPr>
    </w:lvl>
  </w:abstractNum>
  <w:abstractNum w:abstractNumId="6" w15:restartNumberingAfterBreak="0">
    <w:nsid w:val="1EBF3D5F"/>
    <w:multiLevelType w:val="hybridMultilevel"/>
    <w:tmpl w:val="BDA4CD20"/>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1F472C48"/>
    <w:multiLevelType w:val="hybridMultilevel"/>
    <w:tmpl w:val="B6546AAC"/>
    <w:lvl w:ilvl="0" w:tplc="CAE092F2">
      <w:numFmt w:val="bullet"/>
      <w:lvlText w:val="-"/>
      <w:lvlJc w:val="left"/>
      <w:pPr>
        <w:ind w:left="430" w:hanging="360"/>
      </w:pPr>
      <w:rPr>
        <w:rFonts w:ascii="Arial" w:eastAsia="Calibri" w:hAnsi="Arial" w:cs="Arial" w:hint="default"/>
      </w:rPr>
    </w:lvl>
    <w:lvl w:ilvl="1" w:tplc="08090003">
      <w:start w:val="1"/>
      <w:numFmt w:val="bullet"/>
      <w:lvlText w:val="o"/>
      <w:lvlJc w:val="left"/>
      <w:pPr>
        <w:ind w:left="1150" w:hanging="360"/>
      </w:pPr>
      <w:rPr>
        <w:rFonts w:ascii="Courier New" w:hAnsi="Courier New" w:cs="Courier New" w:hint="default"/>
      </w:rPr>
    </w:lvl>
    <w:lvl w:ilvl="2" w:tplc="08090005">
      <w:start w:val="1"/>
      <w:numFmt w:val="bullet"/>
      <w:lvlText w:val=""/>
      <w:lvlJc w:val="left"/>
      <w:pPr>
        <w:ind w:left="1870" w:hanging="360"/>
      </w:pPr>
      <w:rPr>
        <w:rFonts w:ascii="Wingdings" w:hAnsi="Wingdings" w:hint="default"/>
      </w:rPr>
    </w:lvl>
    <w:lvl w:ilvl="3" w:tplc="08090001">
      <w:start w:val="1"/>
      <w:numFmt w:val="bullet"/>
      <w:lvlText w:val=""/>
      <w:lvlJc w:val="left"/>
      <w:pPr>
        <w:ind w:left="2590" w:hanging="360"/>
      </w:pPr>
      <w:rPr>
        <w:rFonts w:ascii="Symbol" w:hAnsi="Symbol" w:hint="default"/>
      </w:rPr>
    </w:lvl>
    <w:lvl w:ilvl="4" w:tplc="08090003">
      <w:start w:val="1"/>
      <w:numFmt w:val="bullet"/>
      <w:lvlText w:val="o"/>
      <w:lvlJc w:val="left"/>
      <w:pPr>
        <w:ind w:left="3310" w:hanging="360"/>
      </w:pPr>
      <w:rPr>
        <w:rFonts w:ascii="Courier New" w:hAnsi="Courier New" w:cs="Courier New" w:hint="default"/>
      </w:rPr>
    </w:lvl>
    <w:lvl w:ilvl="5" w:tplc="08090005">
      <w:start w:val="1"/>
      <w:numFmt w:val="bullet"/>
      <w:lvlText w:val=""/>
      <w:lvlJc w:val="left"/>
      <w:pPr>
        <w:ind w:left="4030" w:hanging="360"/>
      </w:pPr>
      <w:rPr>
        <w:rFonts w:ascii="Wingdings" w:hAnsi="Wingdings" w:hint="default"/>
      </w:rPr>
    </w:lvl>
    <w:lvl w:ilvl="6" w:tplc="08090001">
      <w:start w:val="1"/>
      <w:numFmt w:val="bullet"/>
      <w:lvlText w:val=""/>
      <w:lvlJc w:val="left"/>
      <w:pPr>
        <w:ind w:left="4750" w:hanging="360"/>
      </w:pPr>
      <w:rPr>
        <w:rFonts w:ascii="Symbol" w:hAnsi="Symbol" w:hint="default"/>
      </w:rPr>
    </w:lvl>
    <w:lvl w:ilvl="7" w:tplc="08090003">
      <w:start w:val="1"/>
      <w:numFmt w:val="bullet"/>
      <w:lvlText w:val="o"/>
      <w:lvlJc w:val="left"/>
      <w:pPr>
        <w:ind w:left="5470" w:hanging="360"/>
      </w:pPr>
      <w:rPr>
        <w:rFonts w:ascii="Courier New" w:hAnsi="Courier New" w:cs="Courier New" w:hint="default"/>
      </w:rPr>
    </w:lvl>
    <w:lvl w:ilvl="8" w:tplc="08090005">
      <w:start w:val="1"/>
      <w:numFmt w:val="bullet"/>
      <w:lvlText w:val=""/>
      <w:lvlJc w:val="left"/>
      <w:pPr>
        <w:ind w:left="6190" w:hanging="360"/>
      </w:pPr>
      <w:rPr>
        <w:rFonts w:ascii="Wingdings" w:hAnsi="Wingdings" w:hint="default"/>
      </w:rPr>
    </w:lvl>
  </w:abstractNum>
  <w:abstractNum w:abstractNumId="8" w15:restartNumberingAfterBreak="0">
    <w:nsid w:val="21C11AF1"/>
    <w:multiLevelType w:val="hybridMultilevel"/>
    <w:tmpl w:val="CB3C5A08"/>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7216A0E"/>
    <w:multiLevelType w:val="hybridMultilevel"/>
    <w:tmpl w:val="19BA56C4"/>
    <w:lvl w:ilvl="0" w:tplc="770EEA5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E311E1"/>
    <w:multiLevelType w:val="hybridMultilevel"/>
    <w:tmpl w:val="3872BCDC"/>
    <w:lvl w:ilvl="0" w:tplc="FFFFFFFF">
      <w:start w:val="1"/>
      <w:numFmt w:val="bullet"/>
      <w:lvlText w:val=""/>
      <w:lvlJc w:val="left"/>
      <w:pPr>
        <w:ind w:left="720" w:hanging="360"/>
      </w:pPr>
      <w:rPr>
        <w:rFonts w:ascii="Symbol" w:hAnsi="Symbol" w:hint="default"/>
        <w:color w:val="auto"/>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3EC0531"/>
    <w:multiLevelType w:val="hybridMultilevel"/>
    <w:tmpl w:val="E9B0AD10"/>
    <w:lvl w:ilvl="0" w:tplc="F2C41394">
      <w:start w:val="1"/>
      <w:numFmt w:val="bullet"/>
      <w:lvlText w:val=""/>
      <w:lvlJc w:val="left"/>
      <w:pPr>
        <w:ind w:left="720" w:hanging="360"/>
      </w:pPr>
      <w:rPr>
        <w:rFonts w:ascii="Symbol" w:hAnsi="Symbol" w:hint="default"/>
        <w:color w:val="auto"/>
      </w:rPr>
    </w:lvl>
    <w:lvl w:ilvl="1" w:tplc="B5CCDFA2">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32476A"/>
    <w:multiLevelType w:val="hybridMultilevel"/>
    <w:tmpl w:val="C9925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3C163A"/>
    <w:multiLevelType w:val="hybridMultilevel"/>
    <w:tmpl w:val="AAFC1B2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BD6525"/>
    <w:multiLevelType w:val="hybridMultilevel"/>
    <w:tmpl w:val="F308419A"/>
    <w:lvl w:ilvl="0" w:tplc="770EEA5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EF5815"/>
    <w:multiLevelType w:val="hybridMultilevel"/>
    <w:tmpl w:val="FF621EC0"/>
    <w:lvl w:ilvl="0" w:tplc="08090001">
      <w:start w:val="1"/>
      <w:numFmt w:val="bullet"/>
      <w:lvlText w:val=""/>
      <w:lvlJc w:val="left"/>
      <w:pPr>
        <w:ind w:left="360" w:hanging="360"/>
      </w:pPr>
      <w:rPr>
        <w:rFonts w:ascii="Symbol" w:hAnsi="Symbol" w:hint="default"/>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6" w15:restartNumberingAfterBreak="0">
    <w:nsid w:val="5EEE0947"/>
    <w:multiLevelType w:val="hybridMultilevel"/>
    <w:tmpl w:val="7BF2617E"/>
    <w:lvl w:ilvl="0" w:tplc="7FF456F4">
      <w:start w:val="1"/>
      <w:numFmt w:val="decimal"/>
      <w:lvlText w:val="%1."/>
      <w:lvlJc w:val="left"/>
      <w:pPr>
        <w:ind w:left="360" w:hanging="360"/>
      </w:pPr>
      <w:rPr>
        <w:b/>
        <w:bCs/>
        <w:i w:val="0"/>
        <w:i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61874C2E"/>
    <w:multiLevelType w:val="hybridMultilevel"/>
    <w:tmpl w:val="ACB8B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1821BB"/>
    <w:multiLevelType w:val="hybridMultilevel"/>
    <w:tmpl w:val="E9C25CB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9395925">
    <w:abstractNumId w:val="16"/>
  </w:num>
  <w:num w:numId="2" w16cid:durableId="1033652424">
    <w:abstractNumId w:val="11"/>
  </w:num>
  <w:num w:numId="3" w16cid:durableId="1516461881">
    <w:abstractNumId w:val="17"/>
  </w:num>
  <w:num w:numId="4" w16cid:durableId="1688865638">
    <w:abstractNumId w:val="4"/>
  </w:num>
  <w:num w:numId="5" w16cid:durableId="2027826978">
    <w:abstractNumId w:val="2"/>
  </w:num>
  <w:num w:numId="6" w16cid:durableId="1647005076">
    <w:abstractNumId w:val="12"/>
  </w:num>
  <w:num w:numId="7" w16cid:durableId="1113406769">
    <w:abstractNumId w:val="9"/>
  </w:num>
  <w:num w:numId="8" w16cid:durableId="1829974597">
    <w:abstractNumId w:val="7"/>
  </w:num>
  <w:num w:numId="9" w16cid:durableId="682366929">
    <w:abstractNumId w:val="16"/>
  </w:num>
  <w:num w:numId="10" w16cid:durableId="122311268">
    <w:abstractNumId w:val="1"/>
  </w:num>
  <w:num w:numId="11" w16cid:durableId="1394353309">
    <w:abstractNumId w:val="8"/>
  </w:num>
  <w:num w:numId="12" w16cid:durableId="1804272498">
    <w:abstractNumId w:val="14"/>
  </w:num>
  <w:num w:numId="13" w16cid:durableId="478573197">
    <w:abstractNumId w:val="6"/>
  </w:num>
  <w:num w:numId="14" w16cid:durableId="1921789572">
    <w:abstractNumId w:val="2"/>
  </w:num>
  <w:num w:numId="15" w16cid:durableId="1407918720">
    <w:abstractNumId w:val="11"/>
  </w:num>
  <w:num w:numId="16" w16cid:durableId="1998924448">
    <w:abstractNumId w:val="15"/>
  </w:num>
  <w:num w:numId="17" w16cid:durableId="2043938124">
    <w:abstractNumId w:val="18"/>
  </w:num>
  <w:num w:numId="18" w16cid:durableId="2026396738">
    <w:abstractNumId w:val="3"/>
  </w:num>
  <w:num w:numId="19" w16cid:durableId="937524137">
    <w:abstractNumId w:val="13"/>
  </w:num>
  <w:num w:numId="20" w16cid:durableId="131337652">
    <w:abstractNumId w:val="5"/>
  </w:num>
  <w:num w:numId="21" w16cid:durableId="482816987">
    <w:abstractNumId w:val="10"/>
  </w:num>
  <w:num w:numId="22" w16cid:durableId="189420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64"/>
    <w:rsid w:val="00010AB4"/>
    <w:rsid w:val="00011D8E"/>
    <w:rsid w:val="00015D23"/>
    <w:rsid w:val="00017CC5"/>
    <w:rsid w:val="0002402B"/>
    <w:rsid w:val="000247B6"/>
    <w:rsid w:val="00034443"/>
    <w:rsid w:val="0006291D"/>
    <w:rsid w:val="0007357E"/>
    <w:rsid w:val="00076236"/>
    <w:rsid w:val="000768A5"/>
    <w:rsid w:val="000770FE"/>
    <w:rsid w:val="000A4695"/>
    <w:rsid w:val="000A6F85"/>
    <w:rsid w:val="000C5384"/>
    <w:rsid w:val="000D0031"/>
    <w:rsid w:val="000F43B6"/>
    <w:rsid w:val="00142187"/>
    <w:rsid w:val="001458DF"/>
    <w:rsid w:val="00147DAF"/>
    <w:rsid w:val="001525FB"/>
    <w:rsid w:val="0015664F"/>
    <w:rsid w:val="0016092B"/>
    <w:rsid w:val="00167E53"/>
    <w:rsid w:val="00173C30"/>
    <w:rsid w:val="001746A3"/>
    <w:rsid w:val="00185337"/>
    <w:rsid w:val="001C0463"/>
    <w:rsid w:val="001C4971"/>
    <w:rsid w:val="001D5FC5"/>
    <w:rsid w:val="001E7E47"/>
    <w:rsid w:val="002016A0"/>
    <w:rsid w:val="0020235C"/>
    <w:rsid w:val="0020238D"/>
    <w:rsid w:val="00202731"/>
    <w:rsid w:val="00232126"/>
    <w:rsid w:val="00242E80"/>
    <w:rsid w:val="00247599"/>
    <w:rsid w:val="00253900"/>
    <w:rsid w:val="002573B8"/>
    <w:rsid w:val="00287135"/>
    <w:rsid w:val="002871CA"/>
    <w:rsid w:val="002946D4"/>
    <w:rsid w:val="002A5F49"/>
    <w:rsid w:val="002C34B8"/>
    <w:rsid w:val="002C50EA"/>
    <w:rsid w:val="002C78A6"/>
    <w:rsid w:val="002D4125"/>
    <w:rsid w:val="002D57A7"/>
    <w:rsid w:val="002D7D99"/>
    <w:rsid w:val="002F0360"/>
    <w:rsid w:val="002F10EA"/>
    <w:rsid w:val="002F4E25"/>
    <w:rsid w:val="002F5DB2"/>
    <w:rsid w:val="00305029"/>
    <w:rsid w:val="003078E8"/>
    <w:rsid w:val="00313963"/>
    <w:rsid w:val="003244AE"/>
    <w:rsid w:val="00337891"/>
    <w:rsid w:val="0034253A"/>
    <w:rsid w:val="00346238"/>
    <w:rsid w:val="00381201"/>
    <w:rsid w:val="003905AE"/>
    <w:rsid w:val="00393DC8"/>
    <w:rsid w:val="003A2C0F"/>
    <w:rsid w:val="003C3A5C"/>
    <w:rsid w:val="003C63A8"/>
    <w:rsid w:val="004230AA"/>
    <w:rsid w:val="00424F7B"/>
    <w:rsid w:val="00430E6A"/>
    <w:rsid w:val="004328FE"/>
    <w:rsid w:val="00440861"/>
    <w:rsid w:val="00447D1B"/>
    <w:rsid w:val="00453E92"/>
    <w:rsid w:val="00454AAA"/>
    <w:rsid w:val="004659B3"/>
    <w:rsid w:val="0047349E"/>
    <w:rsid w:val="0048688F"/>
    <w:rsid w:val="004A3DF1"/>
    <w:rsid w:val="004C7174"/>
    <w:rsid w:val="004D7249"/>
    <w:rsid w:val="004E594A"/>
    <w:rsid w:val="00502458"/>
    <w:rsid w:val="00512BBD"/>
    <w:rsid w:val="005172BB"/>
    <w:rsid w:val="00522972"/>
    <w:rsid w:val="00525C00"/>
    <w:rsid w:val="00551F2E"/>
    <w:rsid w:val="00553CC5"/>
    <w:rsid w:val="005710EF"/>
    <w:rsid w:val="00577636"/>
    <w:rsid w:val="00594F7E"/>
    <w:rsid w:val="005957CF"/>
    <w:rsid w:val="005B2037"/>
    <w:rsid w:val="005E5999"/>
    <w:rsid w:val="005F3963"/>
    <w:rsid w:val="006015D9"/>
    <w:rsid w:val="0061615D"/>
    <w:rsid w:val="00631D3A"/>
    <w:rsid w:val="00635C7E"/>
    <w:rsid w:val="00637A59"/>
    <w:rsid w:val="0064148F"/>
    <w:rsid w:val="0064178F"/>
    <w:rsid w:val="0065089C"/>
    <w:rsid w:val="006519C7"/>
    <w:rsid w:val="00672636"/>
    <w:rsid w:val="006752EA"/>
    <w:rsid w:val="006826C7"/>
    <w:rsid w:val="006900DA"/>
    <w:rsid w:val="00690193"/>
    <w:rsid w:val="006931AC"/>
    <w:rsid w:val="00694285"/>
    <w:rsid w:val="006949B7"/>
    <w:rsid w:val="00696F01"/>
    <w:rsid w:val="00697A94"/>
    <w:rsid w:val="006B1095"/>
    <w:rsid w:val="006B1510"/>
    <w:rsid w:val="006C0BFB"/>
    <w:rsid w:val="006C3FD4"/>
    <w:rsid w:val="006C5DB7"/>
    <w:rsid w:val="00715E0C"/>
    <w:rsid w:val="0073296C"/>
    <w:rsid w:val="00757CD6"/>
    <w:rsid w:val="00765346"/>
    <w:rsid w:val="0076574A"/>
    <w:rsid w:val="007658C5"/>
    <w:rsid w:val="00770E5C"/>
    <w:rsid w:val="007765C7"/>
    <w:rsid w:val="007777E1"/>
    <w:rsid w:val="00780A1E"/>
    <w:rsid w:val="00795856"/>
    <w:rsid w:val="00797978"/>
    <w:rsid w:val="007B55D8"/>
    <w:rsid w:val="007B7159"/>
    <w:rsid w:val="007C3C57"/>
    <w:rsid w:val="007C5D92"/>
    <w:rsid w:val="007E014D"/>
    <w:rsid w:val="00805B6A"/>
    <w:rsid w:val="008137DA"/>
    <w:rsid w:val="00823879"/>
    <w:rsid w:val="008323EF"/>
    <w:rsid w:val="00832895"/>
    <w:rsid w:val="00836381"/>
    <w:rsid w:val="00844DE8"/>
    <w:rsid w:val="00846521"/>
    <w:rsid w:val="00872A61"/>
    <w:rsid w:val="008C353B"/>
    <w:rsid w:val="008F30BF"/>
    <w:rsid w:val="0090621A"/>
    <w:rsid w:val="009109DC"/>
    <w:rsid w:val="00912258"/>
    <w:rsid w:val="00923B1A"/>
    <w:rsid w:val="009518B7"/>
    <w:rsid w:val="00955037"/>
    <w:rsid w:val="00967CF3"/>
    <w:rsid w:val="009773D3"/>
    <w:rsid w:val="00985A7A"/>
    <w:rsid w:val="00987491"/>
    <w:rsid w:val="009918C3"/>
    <w:rsid w:val="009B595A"/>
    <w:rsid w:val="009C2B11"/>
    <w:rsid w:val="009D23E0"/>
    <w:rsid w:val="00A024AB"/>
    <w:rsid w:val="00A034DD"/>
    <w:rsid w:val="00A0496F"/>
    <w:rsid w:val="00A17F38"/>
    <w:rsid w:val="00A2767B"/>
    <w:rsid w:val="00A32071"/>
    <w:rsid w:val="00A36508"/>
    <w:rsid w:val="00A4139A"/>
    <w:rsid w:val="00A41CC2"/>
    <w:rsid w:val="00A44459"/>
    <w:rsid w:val="00A4780A"/>
    <w:rsid w:val="00A56A2F"/>
    <w:rsid w:val="00A7575D"/>
    <w:rsid w:val="00A80673"/>
    <w:rsid w:val="00A84169"/>
    <w:rsid w:val="00A91E2E"/>
    <w:rsid w:val="00A93A74"/>
    <w:rsid w:val="00AA422E"/>
    <w:rsid w:val="00AF1558"/>
    <w:rsid w:val="00B04A54"/>
    <w:rsid w:val="00B07D70"/>
    <w:rsid w:val="00B16839"/>
    <w:rsid w:val="00B22D44"/>
    <w:rsid w:val="00B450AC"/>
    <w:rsid w:val="00B454FF"/>
    <w:rsid w:val="00B6139A"/>
    <w:rsid w:val="00B64D4E"/>
    <w:rsid w:val="00B64E50"/>
    <w:rsid w:val="00B779A4"/>
    <w:rsid w:val="00B837C4"/>
    <w:rsid w:val="00BB334F"/>
    <w:rsid w:val="00BC329A"/>
    <w:rsid w:val="00BC5A2A"/>
    <w:rsid w:val="00BD1A82"/>
    <w:rsid w:val="00BD6D64"/>
    <w:rsid w:val="00BE556B"/>
    <w:rsid w:val="00BF1020"/>
    <w:rsid w:val="00C01757"/>
    <w:rsid w:val="00C32243"/>
    <w:rsid w:val="00C41CAC"/>
    <w:rsid w:val="00C56E6C"/>
    <w:rsid w:val="00C57C4D"/>
    <w:rsid w:val="00C57C8C"/>
    <w:rsid w:val="00C705EA"/>
    <w:rsid w:val="00C93042"/>
    <w:rsid w:val="00C93ED5"/>
    <w:rsid w:val="00CA14B2"/>
    <w:rsid w:val="00CB6EF6"/>
    <w:rsid w:val="00CC160D"/>
    <w:rsid w:val="00CD179D"/>
    <w:rsid w:val="00CE4A2C"/>
    <w:rsid w:val="00CF0A23"/>
    <w:rsid w:val="00D137CA"/>
    <w:rsid w:val="00D143E6"/>
    <w:rsid w:val="00D25D89"/>
    <w:rsid w:val="00D27EB0"/>
    <w:rsid w:val="00D31A62"/>
    <w:rsid w:val="00D32CC2"/>
    <w:rsid w:val="00D339C7"/>
    <w:rsid w:val="00D36CE3"/>
    <w:rsid w:val="00D4762C"/>
    <w:rsid w:val="00D718FF"/>
    <w:rsid w:val="00D86F85"/>
    <w:rsid w:val="00D8733A"/>
    <w:rsid w:val="00DB1F04"/>
    <w:rsid w:val="00DD13F0"/>
    <w:rsid w:val="00DD19A1"/>
    <w:rsid w:val="00DD36B4"/>
    <w:rsid w:val="00DD4295"/>
    <w:rsid w:val="00DD72B0"/>
    <w:rsid w:val="00DE0D47"/>
    <w:rsid w:val="00E01DC4"/>
    <w:rsid w:val="00E61752"/>
    <w:rsid w:val="00E768F8"/>
    <w:rsid w:val="00E804EA"/>
    <w:rsid w:val="00E918EF"/>
    <w:rsid w:val="00EB040F"/>
    <w:rsid w:val="00EB1EDD"/>
    <w:rsid w:val="00EB2AE3"/>
    <w:rsid w:val="00EC0AAA"/>
    <w:rsid w:val="00ED71A6"/>
    <w:rsid w:val="00EE234E"/>
    <w:rsid w:val="00EF052C"/>
    <w:rsid w:val="00F1255B"/>
    <w:rsid w:val="00F2433D"/>
    <w:rsid w:val="00F27F69"/>
    <w:rsid w:val="00F32323"/>
    <w:rsid w:val="00F3266E"/>
    <w:rsid w:val="00F43153"/>
    <w:rsid w:val="00F56A43"/>
    <w:rsid w:val="00F77A2B"/>
    <w:rsid w:val="00FA49C6"/>
    <w:rsid w:val="00FB0FB0"/>
    <w:rsid w:val="00FB6B6E"/>
    <w:rsid w:val="00FD22F1"/>
    <w:rsid w:val="00FE71E4"/>
    <w:rsid w:val="00FF02BC"/>
    <w:rsid w:val="00FF2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6F60E"/>
  <w15:chartTrackingRefBased/>
  <w15:docId w15:val="{12421530-6994-4BA9-BDA2-CA74ED6A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D70"/>
    <w:pPr>
      <w:spacing w:line="240" w:lineRule="auto"/>
    </w:pPr>
    <w:rPr>
      <w:rFonts w:ascii="Arial" w:hAnsi="Arial" w:cs="Arial"/>
      <w:kern w:val="0"/>
      <w:sz w:val="20"/>
      <w:szCs w:val="20"/>
    </w:rPr>
  </w:style>
  <w:style w:type="paragraph" w:styleId="Heading1">
    <w:name w:val="heading 1"/>
    <w:aliases w:val="BoE Heading 1"/>
    <w:basedOn w:val="Normal"/>
    <w:next w:val="Normal"/>
    <w:link w:val="Heading1Char"/>
    <w:uiPriority w:val="1"/>
    <w:qFormat/>
    <w:rsid w:val="00B07D70"/>
    <w:pPr>
      <w:spacing w:after="320"/>
      <w:outlineLvl w:val="0"/>
    </w:pPr>
    <w:rPr>
      <w:rFonts w:ascii="Century Gothic" w:eastAsia="Times New Roman" w:hAnsi="Century Gothic"/>
      <w:b/>
      <w:iCs/>
      <w:color w:val="1F497D" w:themeColor="text2"/>
      <w:sz w:val="32"/>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D64"/>
    <w:pPr>
      <w:ind w:left="720"/>
      <w:contextualSpacing/>
    </w:pPr>
  </w:style>
  <w:style w:type="paragraph" w:styleId="FootnoteText">
    <w:name w:val="footnote text"/>
    <w:basedOn w:val="Normal"/>
    <w:link w:val="FootnoteTextChar"/>
    <w:uiPriority w:val="99"/>
    <w:semiHidden/>
    <w:unhideWhenUsed/>
    <w:rsid w:val="00BD6D64"/>
    <w:pPr>
      <w:spacing w:after="0"/>
    </w:pPr>
  </w:style>
  <w:style w:type="character" w:customStyle="1" w:styleId="FootnoteTextChar">
    <w:name w:val="Footnote Text Char"/>
    <w:basedOn w:val="DefaultParagraphFont"/>
    <w:link w:val="FootnoteText"/>
    <w:uiPriority w:val="99"/>
    <w:semiHidden/>
    <w:rsid w:val="00BD6D64"/>
    <w:rPr>
      <w:rFonts w:ascii="Arial" w:hAnsi="Arial" w:cs="Arial"/>
      <w:kern w:val="0"/>
      <w:sz w:val="20"/>
      <w:szCs w:val="20"/>
    </w:rPr>
  </w:style>
  <w:style w:type="character" w:styleId="FootnoteReference">
    <w:name w:val="footnote reference"/>
    <w:basedOn w:val="DefaultParagraphFont"/>
    <w:uiPriority w:val="99"/>
    <w:semiHidden/>
    <w:unhideWhenUsed/>
    <w:rsid w:val="00BD6D64"/>
    <w:rPr>
      <w:vertAlign w:val="superscript"/>
    </w:rPr>
  </w:style>
  <w:style w:type="character" w:styleId="CommentReference">
    <w:name w:val="annotation reference"/>
    <w:basedOn w:val="DefaultParagraphFont"/>
    <w:uiPriority w:val="99"/>
    <w:semiHidden/>
    <w:unhideWhenUsed/>
    <w:rsid w:val="00BD6D64"/>
    <w:rPr>
      <w:sz w:val="16"/>
      <w:szCs w:val="16"/>
    </w:rPr>
  </w:style>
  <w:style w:type="paragraph" w:styleId="CommentText">
    <w:name w:val="annotation text"/>
    <w:basedOn w:val="Normal"/>
    <w:link w:val="CommentTextChar"/>
    <w:uiPriority w:val="99"/>
    <w:unhideWhenUsed/>
    <w:rsid w:val="00BD6D64"/>
  </w:style>
  <w:style w:type="character" w:customStyle="1" w:styleId="CommentTextChar">
    <w:name w:val="Comment Text Char"/>
    <w:basedOn w:val="DefaultParagraphFont"/>
    <w:link w:val="CommentText"/>
    <w:uiPriority w:val="99"/>
    <w:rsid w:val="00BD6D64"/>
    <w:rPr>
      <w:rFonts w:ascii="Arial" w:hAnsi="Arial" w:cs="Arial"/>
      <w:kern w:val="0"/>
      <w:sz w:val="20"/>
      <w:szCs w:val="20"/>
    </w:rPr>
  </w:style>
  <w:style w:type="paragraph" w:styleId="Header">
    <w:name w:val="header"/>
    <w:basedOn w:val="Normal"/>
    <w:link w:val="HeaderChar"/>
    <w:uiPriority w:val="99"/>
    <w:unhideWhenUsed/>
    <w:rsid w:val="00BD6D64"/>
    <w:pPr>
      <w:tabs>
        <w:tab w:val="center" w:pos="4513"/>
        <w:tab w:val="right" w:pos="9026"/>
      </w:tabs>
      <w:spacing w:after="0"/>
    </w:pPr>
  </w:style>
  <w:style w:type="character" w:customStyle="1" w:styleId="HeaderChar">
    <w:name w:val="Header Char"/>
    <w:basedOn w:val="DefaultParagraphFont"/>
    <w:link w:val="Header"/>
    <w:uiPriority w:val="99"/>
    <w:rsid w:val="00BD6D64"/>
    <w:rPr>
      <w:rFonts w:ascii="Arial" w:hAnsi="Arial" w:cs="Arial"/>
      <w:kern w:val="0"/>
      <w:sz w:val="20"/>
      <w:szCs w:val="20"/>
    </w:rPr>
  </w:style>
  <w:style w:type="paragraph" w:styleId="Footer">
    <w:name w:val="footer"/>
    <w:basedOn w:val="Normal"/>
    <w:link w:val="FooterChar"/>
    <w:uiPriority w:val="99"/>
    <w:unhideWhenUsed/>
    <w:rsid w:val="00BD6D64"/>
    <w:pPr>
      <w:tabs>
        <w:tab w:val="center" w:pos="4513"/>
        <w:tab w:val="right" w:pos="9026"/>
      </w:tabs>
      <w:spacing w:after="0"/>
    </w:pPr>
  </w:style>
  <w:style w:type="character" w:customStyle="1" w:styleId="FooterChar">
    <w:name w:val="Footer Char"/>
    <w:basedOn w:val="DefaultParagraphFont"/>
    <w:link w:val="Footer"/>
    <w:uiPriority w:val="99"/>
    <w:rsid w:val="00BD6D64"/>
    <w:rPr>
      <w:rFonts w:ascii="Arial" w:hAnsi="Arial" w:cs="Arial"/>
      <w:kern w:val="0"/>
      <w:sz w:val="20"/>
      <w:szCs w:val="20"/>
    </w:rPr>
  </w:style>
  <w:style w:type="character" w:styleId="Hyperlink">
    <w:name w:val="Hyperlink"/>
    <w:basedOn w:val="DefaultParagraphFont"/>
    <w:uiPriority w:val="99"/>
    <w:unhideWhenUsed/>
    <w:rsid w:val="00BD6D64"/>
    <w:rPr>
      <w:color w:val="0000FF"/>
      <w:u w:val="single"/>
    </w:rPr>
  </w:style>
  <w:style w:type="paragraph" w:styleId="CommentSubject">
    <w:name w:val="annotation subject"/>
    <w:basedOn w:val="CommentText"/>
    <w:next w:val="CommentText"/>
    <w:link w:val="CommentSubjectChar"/>
    <w:uiPriority w:val="99"/>
    <w:semiHidden/>
    <w:unhideWhenUsed/>
    <w:rsid w:val="00BD6D64"/>
    <w:rPr>
      <w:b/>
      <w:bCs/>
    </w:rPr>
  </w:style>
  <w:style w:type="character" w:customStyle="1" w:styleId="CommentSubjectChar">
    <w:name w:val="Comment Subject Char"/>
    <w:basedOn w:val="CommentTextChar"/>
    <w:link w:val="CommentSubject"/>
    <w:uiPriority w:val="99"/>
    <w:semiHidden/>
    <w:rsid w:val="00BD6D64"/>
    <w:rPr>
      <w:rFonts w:ascii="Arial" w:hAnsi="Arial" w:cs="Arial"/>
      <w:b/>
      <w:bCs/>
      <w:kern w:val="0"/>
      <w:sz w:val="20"/>
      <w:szCs w:val="20"/>
    </w:rPr>
  </w:style>
  <w:style w:type="character" w:styleId="UnresolvedMention">
    <w:name w:val="Unresolved Mention"/>
    <w:basedOn w:val="DefaultParagraphFont"/>
    <w:uiPriority w:val="99"/>
    <w:semiHidden/>
    <w:unhideWhenUsed/>
    <w:rsid w:val="00147DAF"/>
    <w:rPr>
      <w:color w:val="605E5C"/>
      <w:shd w:val="clear" w:color="auto" w:fill="E1DFDD"/>
    </w:rPr>
  </w:style>
  <w:style w:type="paragraph" w:styleId="Revision">
    <w:name w:val="Revision"/>
    <w:hidden/>
    <w:uiPriority w:val="99"/>
    <w:semiHidden/>
    <w:rsid w:val="001746A3"/>
    <w:pPr>
      <w:spacing w:after="0" w:line="240" w:lineRule="auto"/>
    </w:pPr>
    <w:rPr>
      <w:rFonts w:ascii="Arial" w:hAnsi="Arial" w:cs="Arial"/>
      <w:kern w:val="0"/>
      <w:sz w:val="20"/>
      <w:szCs w:val="20"/>
    </w:rPr>
  </w:style>
  <w:style w:type="character" w:styleId="FollowedHyperlink">
    <w:name w:val="FollowedHyperlink"/>
    <w:basedOn w:val="DefaultParagraphFont"/>
    <w:uiPriority w:val="99"/>
    <w:semiHidden/>
    <w:unhideWhenUsed/>
    <w:rsid w:val="002D4125"/>
    <w:rPr>
      <w:color w:val="800080" w:themeColor="followedHyperlink"/>
      <w:u w:val="single"/>
    </w:rPr>
  </w:style>
  <w:style w:type="paragraph" w:customStyle="1" w:styleId="pf0">
    <w:name w:val="pf0"/>
    <w:basedOn w:val="Normal"/>
    <w:rsid w:val="00A80673"/>
    <w:pPr>
      <w:spacing w:before="100" w:beforeAutospacing="1" w:after="100" w:afterAutospacing="1"/>
    </w:pPr>
    <w:rPr>
      <w:rFonts w:ascii="Times New Roman" w:eastAsia="Times New Roman" w:hAnsi="Times New Roman" w:cs="Times New Roman"/>
      <w:sz w:val="24"/>
      <w:szCs w:val="24"/>
      <w:lang w:eastAsia="en-GB"/>
      <w14:ligatures w14:val="none"/>
    </w:rPr>
  </w:style>
  <w:style w:type="character" w:customStyle="1" w:styleId="cf01">
    <w:name w:val="cf01"/>
    <w:basedOn w:val="DefaultParagraphFont"/>
    <w:rsid w:val="00A80673"/>
    <w:rPr>
      <w:rFonts w:ascii="Segoe UI" w:hAnsi="Segoe UI" w:cs="Segoe UI" w:hint="default"/>
      <w:sz w:val="18"/>
      <w:szCs w:val="18"/>
    </w:rPr>
  </w:style>
  <w:style w:type="character" w:customStyle="1" w:styleId="Heading1Char">
    <w:name w:val="Heading 1 Char"/>
    <w:aliases w:val="BoE Heading 1 Char"/>
    <w:basedOn w:val="DefaultParagraphFont"/>
    <w:link w:val="Heading1"/>
    <w:uiPriority w:val="1"/>
    <w:rsid w:val="00B07D70"/>
    <w:rPr>
      <w:rFonts w:ascii="Century Gothic" w:eastAsia="Times New Roman" w:hAnsi="Century Gothic" w:cs="Arial"/>
      <w:b/>
      <w:iCs/>
      <w:color w:val="1F497D" w:themeColor="text2"/>
      <w:kern w:val="0"/>
      <w:sz w:val="32"/>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67337">
      <w:bodyDiv w:val="1"/>
      <w:marLeft w:val="0"/>
      <w:marRight w:val="0"/>
      <w:marTop w:val="0"/>
      <w:marBottom w:val="0"/>
      <w:divBdr>
        <w:top w:val="none" w:sz="0" w:space="0" w:color="auto"/>
        <w:left w:val="none" w:sz="0" w:space="0" w:color="auto"/>
        <w:bottom w:val="none" w:sz="0" w:space="0" w:color="auto"/>
        <w:right w:val="none" w:sz="0" w:space="0" w:color="auto"/>
      </w:divBdr>
    </w:div>
    <w:div w:id="954408522">
      <w:bodyDiv w:val="1"/>
      <w:marLeft w:val="0"/>
      <w:marRight w:val="0"/>
      <w:marTop w:val="0"/>
      <w:marBottom w:val="0"/>
      <w:divBdr>
        <w:top w:val="none" w:sz="0" w:space="0" w:color="auto"/>
        <w:left w:val="none" w:sz="0" w:space="0" w:color="auto"/>
        <w:bottom w:val="none" w:sz="0" w:space="0" w:color="auto"/>
        <w:right w:val="none" w:sz="0" w:space="0" w:color="auto"/>
      </w:divBdr>
    </w:div>
    <w:div w:id="1263537092">
      <w:bodyDiv w:val="1"/>
      <w:marLeft w:val="0"/>
      <w:marRight w:val="0"/>
      <w:marTop w:val="0"/>
      <w:marBottom w:val="0"/>
      <w:divBdr>
        <w:top w:val="none" w:sz="0" w:space="0" w:color="auto"/>
        <w:left w:val="none" w:sz="0" w:space="0" w:color="auto"/>
        <w:bottom w:val="none" w:sz="0" w:space="0" w:color="auto"/>
        <w:right w:val="none" w:sz="0" w:space="0" w:color="auto"/>
      </w:divBdr>
    </w:div>
    <w:div w:id="1767575256">
      <w:bodyDiv w:val="1"/>
      <w:marLeft w:val="0"/>
      <w:marRight w:val="0"/>
      <w:marTop w:val="0"/>
      <w:marBottom w:val="0"/>
      <w:divBdr>
        <w:top w:val="none" w:sz="0" w:space="0" w:color="auto"/>
        <w:left w:val="none" w:sz="0" w:space="0" w:color="auto"/>
        <w:bottom w:val="none" w:sz="0" w:space="0" w:color="auto"/>
        <w:right w:val="none" w:sz="0" w:space="0" w:color="auto"/>
      </w:divBdr>
    </w:div>
    <w:div w:id="2124034353">
      <w:bodyDiv w:val="1"/>
      <w:marLeft w:val="0"/>
      <w:marRight w:val="0"/>
      <w:marTop w:val="0"/>
      <w:marBottom w:val="0"/>
      <w:divBdr>
        <w:top w:val="none" w:sz="0" w:space="0" w:color="auto"/>
        <w:left w:val="none" w:sz="0" w:space="0" w:color="auto"/>
        <w:bottom w:val="none" w:sz="0" w:space="0" w:color="auto"/>
        <w:right w:val="none" w:sz="0" w:space="0" w:color="auto"/>
      </w:divBdr>
    </w:div>
    <w:div w:id="214002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Waivers@bankofengland.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bankofengland.co.uk/prudential-regulation/authorisations/solvency-ii-approvals" TargetMode="External"/><Relationship Id="rId2" Type="http://schemas.openxmlformats.org/officeDocument/2006/relationships/hyperlink" Target="https://www.bankofengland.co.uk/prudential-regulation/publication/2024/february/solvency-ii-capital-add-ons-sop" TargetMode="External"/><Relationship Id="rId1" Type="http://schemas.openxmlformats.org/officeDocument/2006/relationships/hyperlink" Target="https://www.bankofengland.co.uk/prudential-regulation/publication/2024/february/solvency-ii-internal-models-permissions-and-ongoing-monitoring-sop" TargetMode="External"/><Relationship Id="rId5" Type="http://schemas.openxmlformats.org/officeDocument/2006/relationships/hyperlink" Target="https://www.bankofengland.co.uk/prudential-regulation/publication/2024/february/solvency-ii-capital-add-ons-sop" TargetMode="External"/><Relationship Id="rId4" Type="http://schemas.openxmlformats.org/officeDocument/2006/relationships/hyperlink" Target="https://www.bankofengland.co.uk/prudential-regulation/publication/2016/solvency2-internal-models-assessment-model-change-and-the-role-of-non-executive-directors-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6B489-392D-4423-AAA5-5DF3829C5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Bank of England</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Gangadia, Avni</dc:creator>
  <cp:keywords/>
  <dc:description/>
  <cp:lastModifiedBy>Gangadia, Avni</cp:lastModifiedBy>
  <cp:revision>2</cp:revision>
  <dcterms:created xsi:type="dcterms:W3CDTF">2024-09-30T15:39:00Z</dcterms:created>
  <dcterms:modified xsi:type="dcterms:W3CDTF">2024-09-30T15:39:00Z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294921079</vt:i4>
  </property>
  <property fmtid="{D5CDD505-2E9C-101B-9397-08002B2CF9AE}" pid="3" name="_NewReviewCycle">
    <vt:lpwstr/>
  </property>
  <property fmtid="{D5CDD505-2E9C-101B-9397-08002B2CF9AE}" pid="4" name="_EmailSubject">
    <vt:lpwstr>IM Auths update</vt:lpwstr>
  </property>
  <property fmtid="{D5CDD505-2E9C-101B-9397-08002B2CF9AE}" pid="5" name="_AuthorEmail">
    <vt:lpwstr>Andrew.Britton@bankofengland.co.uk</vt:lpwstr>
  </property>
  <property fmtid="{D5CDD505-2E9C-101B-9397-08002B2CF9AE}" pid="6" name="_AuthorEmailDisplayName">
    <vt:lpwstr>Britton, Andrew</vt:lpwstr>
  </property>
  <property fmtid="{D5CDD505-2E9C-101B-9397-08002B2CF9AE}" pid="7" name="_PreviousAdHocReviewCycleID">
    <vt:i4>-900954750</vt:i4>
  </property>
</Properties>
</file>