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34FE" w14:textId="77777777" w:rsidR="00E06EBF" w:rsidRDefault="00E06EBF" w:rsidP="00B61577">
      <w:pPr>
        <w:spacing w:after="180"/>
        <w:rPr>
          <w:sz w:val="16"/>
        </w:rPr>
      </w:pPr>
    </w:p>
    <w:p w14:paraId="3585C1D3" w14:textId="7BCE7D46" w:rsidR="00595E00" w:rsidRDefault="00321CD3" w:rsidP="00595E00">
      <w:pPr>
        <w:pStyle w:val="Heading1"/>
      </w:pPr>
      <w:r>
        <w:t xml:space="preserve">Matching Adjustment (MA) Application Process </w:t>
      </w:r>
      <w:r w:rsidR="006D7494">
        <w:t>Practitioner Q&amp;A</w:t>
      </w:r>
    </w:p>
    <w:p w14:paraId="12FF4D60" w14:textId="012FD129" w:rsidR="0059086B" w:rsidRPr="00767FC5" w:rsidRDefault="006D7494" w:rsidP="00321CD3">
      <w:pPr>
        <w:rPr>
          <w:lang w:eastAsia="en-US"/>
        </w:rPr>
      </w:pPr>
      <w:r>
        <w:rPr>
          <w:lang w:eastAsia="en-US"/>
        </w:rPr>
        <w:t xml:space="preserve">This Q&amp;A </w:t>
      </w:r>
      <w:r w:rsidR="0059086B">
        <w:rPr>
          <w:lang w:eastAsia="en-US"/>
        </w:rPr>
        <w:t xml:space="preserve">provides practical information for practitioners planning to submit an MA application. It </w:t>
      </w:r>
      <w:r>
        <w:rPr>
          <w:lang w:eastAsia="en-US"/>
        </w:rPr>
        <w:t xml:space="preserve">should be read in conjunction with the </w:t>
      </w:r>
      <w:r w:rsidR="00002407">
        <w:rPr>
          <w:lang w:eastAsia="en-US"/>
        </w:rPr>
        <w:t>s</w:t>
      </w:r>
      <w:r>
        <w:rPr>
          <w:lang w:eastAsia="en-US"/>
        </w:rPr>
        <w:t xml:space="preserve">tatement of </w:t>
      </w:r>
      <w:r w:rsidR="00002407">
        <w:rPr>
          <w:lang w:eastAsia="en-US"/>
        </w:rPr>
        <w:t>p</w:t>
      </w:r>
      <w:r>
        <w:rPr>
          <w:lang w:eastAsia="en-US"/>
        </w:rPr>
        <w:t>olicy</w:t>
      </w:r>
      <w:r w:rsidR="006751E7">
        <w:rPr>
          <w:lang w:eastAsia="en-US"/>
        </w:rPr>
        <w:t xml:space="preserve"> (SoP)</w:t>
      </w:r>
      <w:r>
        <w:rPr>
          <w:lang w:eastAsia="en-US"/>
        </w:rPr>
        <w:t xml:space="preserve"> – Solvency II: Matching Adjustment Permissions</w:t>
      </w:r>
      <w:r w:rsidR="009F70D5">
        <w:rPr>
          <w:rStyle w:val="FootnoteReference"/>
          <w:lang w:eastAsia="en-US"/>
        </w:rPr>
        <w:footnoteReference w:id="2"/>
      </w:r>
      <w:r w:rsidR="008C12A9">
        <w:rPr>
          <w:lang w:eastAsia="en-US"/>
        </w:rPr>
        <w:t xml:space="preserve"> </w:t>
      </w:r>
      <w:r w:rsidR="00CC0005">
        <w:rPr>
          <w:lang w:eastAsia="en-US"/>
        </w:rPr>
        <w:t xml:space="preserve">and </w:t>
      </w:r>
      <w:r w:rsidR="0059086B">
        <w:rPr>
          <w:lang w:eastAsia="en-US"/>
        </w:rPr>
        <w:t>the relevant forms available on the Bank of England website</w:t>
      </w:r>
      <w:r w:rsidR="00002407">
        <w:rPr>
          <w:lang w:eastAsia="en-US"/>
        </w:rPr>
        <w:t>.</w:t>
      </w:r>
      <w:r w:rsidR="009F70D5">
        <w:rPr>
          <w:rStyle w:val="FootnoteReference"/>
          <w:lang w:eastAsia="en-US"/>
        </w:rPr>
        <w:footnoteReference w:id="3"/>
      </w:r>
      <w:r w:rsidR="0059086B">
        <w:rPr>
          <w:lang w:eastAsia="en-US"/>
        </w:rPr>
        <w:t xml:space="preserve"> </w:t>
      </w:r>
    </w:p>
    <w:p w14:paraId="42898800" w14:textId="77777777" w:rsidR="00321CD3" w:rsidRPr="001724DC" w:rsidRDefault="00321CD3" w:rsidP="00321CD3">
      <w:pPr>
        <w:pStyle w:val="ListParagraph"/>
        <w:numPr>
          <w:ilvl w:val="0"/>
          <w:numId w:val="8"/>
        </w:numPr>
        <w:spacing w:after="0" w:line="276" w:lineRule="auto"/>
        <w:rPr>
          <w:rFonts w:eastAsia="Times New Roman" w:cs="Arial"/>
          <w:b/>
          <w:bCs/>
          <w:szCs w:val="24"/>
        </w:rPr>
      </w:pPr>
      <w:r w:rsidRPr="001724DC">
        <w:rPr>
          <w:rFonts w:eastAsia="Times New Roman" w:cs="Arial"/>
          <w:b/>
          <w:bCs/>
          <w:szCs w:val="24"/>
        </w:rPr>
        <w:t>What is the PRA’s process for reviewing an MA application?</w:t>
      </w:r>
    </w:p>
    <w:p w14:paraId="313342D0" w14:textId="77777777" w:rsidR="00321CD3" w:rsidRDefault="00321CD3" w:rsidP="00321CD3">
      <w:pPr>
        <w:spacing w:after="0"/>
        <w:rPr>
          <w:rFonts w:cs="Arial"/>
          <w:b/>
          <w:bCs/>
          <w:szCs w:val="24"/>
        </w:rPr>
      </w:pPr>
    </w:p>
    <w:p w14:paraId="16970519" w14:textId="77777777" w:rsidR="00321CD3" w:rsidRDefault="00321CD3" w:rsidP="00321CD3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There are three key stages to the PRA’s review of an MA application.</w:t>
      </w:r>
    </w:p>
    <w:p w14:paraId="3AAB5A43" w14:textId="77777777" w:rsidR="00321CD3" w:rsidRDefault="00321CD3" w:rsidP="00321CD3">
      <w:pPr>
        <w:spacing w:after="0"/>
        <w:rPr>
          <w:rFonts w:cs="Arial"/>
          <w:szCs w:val="24"/>
        </w:rPr>
      </w:pPr>
    </w:p>
    <w:p w14:paraId="5AB28F6F" w14:textId="73B3A2B5" w:rsidR="00321CD3" w:rsidRPr="000E33F5" w:rsidRDefault="00321CD3" w:rsidP="00321CD3">
      <w:pPr>
        <w:pStyle w:val="ListParagraph"/>
        <w:numPr>
          <w:ilvl w:val="0"/>
          <w:numId w:val="10"/>
        </w:numPr>
        <w:spacing w:after="0" w:line="276" w:lineRule="auto"/>
        <w:rPr>
          <w:rFonts w:eastAsia="Times New Roman" w:cs="Arial"/>
          <w:szCs w:val="24"/>
        </w:rPr>
      </w:pPr>
      <w:r w:rsidRPr="000E33F5">
        <w:rPr>
          <w:rFonts w:eastAsia="Times New Roman" w:cs="Arial"/>
          <w:szCs w:val="24"/>
        </w:rPr>
        <w:t>The Application Readiness Assessment Process (ARAP)</w:t>
      </w:r>
      <w:r w:rsidR="00FD0FD1">
        <w:rPr>
          <w:rFonts w:eastAsia="Times New Roman" w:cs="Arial"/>
          <w:szCs w:val="24"/>
        </w:rPr>
        <w:t>;</w:t>
      </w:r>
    </w:p>
    <w:p w14:paraId="0F358007" w14:textId="785AE3AB" w:rsidR="00321CD3" w:rsidRDefault="00B41884" w:rsidP="00321CD3">
      <w:pPr>
        <w:pStyle w:val="ListParagraph"/>
        <w:numPr>
          <w:ilvl w:val="0"/>
          <w:numId w:val="10"/>
        </w:numPr>
        <w:spacing w:after="0" w:line="276" w:lineRule="auto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</w:t>
      </w:r>
      <w:r w:rsidR="00321CD3">
        <w:rPr>
          <w:rFonts w:eastAsia="Times New Roman" w:cs="Arial"/>
          <w:szCs w:val="24"/>
        </w:rPr>
        <w:t>pplication triage and review</w:t>
      </w:r>
      <w:r w:rsidR="00FD0FD1">
        <w:rPr>
          <w:rFonts w:eastAsia="Times New Roman" w:cs="Arial"/>
          <w:szCs w:val="24"/>
        </w:rPr>
        <w:t>; and</w:t>
      </w:r>
    </w:p>
    <w:p w14:paraId="39B1166D" w14:textId="20F807B1" w:rsidR="00321CD3" w:rsidRDefault="00321CD3" w:rsidP="00321CD3">
      <w:pPr>
        <w:pStyle w:val="ListParagraph"/>
        <w:numPr>
          <w:ilvl w:val="0"/>
          <w:numId w:val="10"/>
        </w:numPr>
        <w:spacing w:after="0" w:line="276" w:lineRule="auto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PRA Decision</w:t>
      </w:r>
    </w:p>
    <w:p w14:paraId="058C23AA" w14:textId="77777777" w:rsidR="00767FC5" w:rsidRPr="00767FC5" w:rsidRDefault="00767FC5" w:rsidP="00767FC5">
      <w:pPr>
        <w:pStyle w:val="ListParagraph"/>
        <w:spacing w:after="0" w:line="276" w:lineRule="auto"/>
        <w:ind w:left="1080"/>
        <w:rPr>
          <w:rFonts w:eastAsia="Times New Roman" w:cs="Arial"/>
          <w:szCs w:val="24"/>
        </w:rPr>
      </w:pPr>
    </w:p>
    <w:p w14:paraId="3B6A6556" w14:textId="77777777" w:rsidR="00321CD3" w:rsidRPr="001724DC" w:rsidRDefault="00321CD3" w:rsidP="00321CD3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b/>
          <w:bCs/>
          <w:szCs w:val="24"/>
        </w:rPr>
      </w:pPr>
      <w:r w:rsidRPr="001724DC">
        <w:rPr>
          <w:rFonts w:cs="Arial"/>
          <w:b/>
          <w:bCs/>
          <w:szCs w:val="24"/>
        </w:rPr>
        <w:t>What is the purpose of the ARAP?</w:t>
      </w:r>
    </w:p>
    <w:p w14:paraId="7BBE6B01" w14:textId="3CAA36BD" w:rsidR="00321CD3" w:rsidRDefault="0059086B" w:rsidP="00321CD3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The ARAP is not mandatory but f</w:t>
      </w:r>
      <w:r w:rsidR="00321CD3">
        <w:rPr>
          <w:rFonts w:cs="Arial"/>
          <w:szCs w:val="24"/>
        </w:rPr>
        <w:t>irms are strongly encouraged to participate</w:t>
      </w:r>
      <w:r w:rsidR="00C42DA3">
        <w:rPr>
          <w:rFonts w:cs="Arial"/>
          <w:szCs w:val="24"/>
        </w:rPr>
        <w:t>.</w:t>
      </w:r>
      <w:r w:rsidR="00321CD3">
        <w:rPr>
          <w:rFonts w:cs="Arial"/>
          <w:szCs w:val="24"/>
        </w:rPr>
        <w:t xml:space="preserve"> </w:t>
      </w:r>
    </w:p>
    <w:p w14:paraId="531C129A" w14:textId="77777777" w:rsidR="00321CD3" w:rsidRDefault="00321CD3" w:rsidP="00321CD3">
      <w:pPr>
        <w:spacing w:after="0"/>
        <w:rPr>
          <w:rFonts w:cs="Arial"/>
          <w:szCs w:val="24"/>
        </w:rPr>
      </w:pPr>
    </w:p>
    <w:p w14:paraId="770286EB" w14:textId="74771D17" w:rsidR="00321CD3" w:rsidRPr="00B70594" w:rsidRDefault="00321CD3" w:rsidP="00321CD3">
      <w:pPr>
        <w:spacing w:after="0"/>
        <w:rPr>
          <w:rFonts w:cs="Arial"/>
          <w:szCs w:val="24"/>
        </w:rPr>
      </w:pPr>
      <w:r w:rsidRPr="00B70594">
        <w:rPr>
          <w:rFonts w:cs="Arial"/>
          <w:szCs w:val="24"/>
        </w:rPr>
        <w:t xml:space="preserve">The ARAP </w:t>
      </w:r>
      <w:r w:rsidR="00655CF0">
        <w:rPr>
          <w:rFonts w:cs="Arial"/>
          <w:szCs w:val="24"/>
        </w:rPr>
        <w:t xml:space="preserve">is a short process that </w:t>
      </w:r>
      <w:r w:rsidRPr="00B70594">
        <w:rPr>
          <w:rFonts w:cs="Arial"/>
          <w:szCs w:val="24"/>
        </w:rPr>
        <w:t>will bring more structure and consistency to the way firms engage with the PRA in advance of making an MA application</w:t>
      </w:r>
      <w:r>
        <w:rPr>
          <w:rFonts w:cs="Arial"/>
          <w:szCs w:val="24"/>
        </w:rPr>
        <w:t>. It will</w:t>
      </w:r>
      <w:r w:rsidRPr="00B70594">
        <w:rPr>
          <w:rFonts w:cs="Arial"/>
          <w:szCs w:val="24"/>
        </w:rPr>
        <w:t xml:space="preserve"> enabl</w:t>
      </w:r>
      <w:r>
        <w:rPr>
          <w:rFonts w:cs="Arial"/>
          <w:szCs w:val="24"/>
        </w:rPr>
        <w:t>e</w:t>
      </w:r>
      <w:r w:rsidRPr="00B70594">
        <w:rPr>
          <w:rFonts w:cs="Arial"/>
          <w:szCs w:val="24"/>
        </w:rPr>
        <w:t xml:space="preserve"> the</w:t>
      </w:r>
      <w:r w:rsidR="004006CC">
        <w:rPr>
          <w:rFonts w:cs="Arial"/>
          <w:szCs w:val="24"/>
        </w:rPr>
        <w:t xml:space="preserve"> firm to get a view from the</w:t>
      </w:r>
      <w:r w:rsidRPr="00B70594">
        <w:rPr>
          <w:rFonts w:cs="Arial"/>
          <w:szCs w:val="24"/>
        </w:rPr>
        <w:t xml:space="preserve"> PRA </w:t>
      </w:r>
      <w:r w:rsidR="004006CC">
        <w:rPr>
          <w:rFonts w:cs="Arial"/>
          <w:szCs w:val="24"/>
        </w:rPr>
        <w:t xml:space="preserve">regarding its readiness </w:t>
      </w:r>
      <w:r w:rsidRPr="00B70594">
        <w:rPr>
          <w:rFonts w:cs="Arial"/>
          <w:szCs w:val="24"/>
        </w:rPr>
        <w:t>to</w:t>
      </w:r>
      <w:r>
        <w:rPr>
          <w:rFonts w:cs="Arial"/>
          <w:szCs w:val="24"/>
        </w:rPr>
        <w:t xml:space="preserve"> submit</w:t>
      </w:r>
      <w:r w:rsidRPr="00B70594">
        <w:rPr>
          <w:rFonts w:cs="Arial"/>
          <w:szCs w:val="24"/>
        </w:rPr>
        <w:t xml:space="preserve"> an MA application</w:t>
      </w:r>
      <w:r w:rsidR="004006CC">
        <w:rPr>
          <w:rFonts w:cs="Arial"/>
          <w:szCs w:val="24"/>
        </w:rPr>
        <w:t>. It will also</w:t>
      </w:r>
      <w:r w:rsidRPr="00B70594">
        <w:rPr>
          <w:rFonts w:cs="Arial"/>
          <w:szCs w:val="24"/>
        </w:rPr>
        <w:t xml:space="preserve"> </w:t>
      </w:r>
      <w:r w:rsidR="004006CC">
        <w:rPr>
          <w:rFonts w:cs="Arial"/>
          <w:szCs w:val="24"/>
        </w:rPr>
        <w:t>give</w:t>
      </w:r>
      <w:r w:rsidRPr="00B70594">
        <w:rPr>
          <w:rFonts w:cs="Arial"/>
          <w:szCs w:val="24"/>
        </w:rPr>
        <w:t xml:space="preserve"> the PRA </w:t>
      </w:r>
      <w:r w:rsidR="004006CC">
        <w:rPr>
          <w:rFonts w:cs="Arial"/>
          <w:szCs w:val="24"/>
        </w:rPr>
        <w:t xml:space="preserve">good sight of the proposed content and scope of the MA application, helping it </w:t>
      </w:r>
      <w:r w:rsidR="00E759E6">
        <w:rPr>
          <w:rFonts w:cs="Arial"/>
          <w:szCs w:val="24"/>
        </w:rPr>
        <w:t xml:space="preserve">to </w:t>
      </w:r>
      <w:r w:rsidR="00A407A2">
        <w:rPr>
          <w:rFonts w:cs="Arial"/>
          <w:szCs w:val="24"/>
        </w:rPr>
        <w:t>determine resourcing needs</w:t>
      </w:r>
      <w:r w:rsidR="001F63E1" w:rsidRPr="00B70594">
        <w:rPr>
          <w:rFonts w:cs="Arial"/>
          <w:szCs w:val="24"/>
        </w:rPr>
        <w:t xml:space="preserve"> </w:t>
      </w:r>
      <w:r w:rsidRPr="00B70594">
        <w:rPr>
          <w:rFonts w:cs="Arial"/>
          <w:szCs w:val="24"/>
        </w:rPr>
        <w:t>to review the application when received.</w:t>
      </w:r>
      <w:r w:rsidR="0059086B">
        <w:rPr>
          <w:rFonts w:cs="Arial"/>
          <w:szCs w:val="24"/>
        </w:rPr>
        <w:t xml:space="preserve"> The PRA will </w:t>
      </w:r>
      <w:r w:rsidR="004006CC">
        <w:rPr>
          <w:rFonts w:cs="Arial"/>
          <w:szCs w:val="24"/>
        </w:rPr>
        <w:t xml:space="preserve">indicate whether it considers it appropriate for a firm to make an MA application at the end of the ARAP and it may also provide feedback to the firm. Where feedback is provided, </w:t>
      </w:r>
      <w:r w:rsidR="001F63E1">
        <w:rPr>
          <w:rFonts w:cs="Arial"/>
          <w:szCs w:val="24"/>
        </w:rPr>
        <w:t>the PRA will indicate whether this should be addressed in the MA application prior to its submission to the PRA.</w:t>
      </w:r>
      <w:r w:rsidR="004006CC">
        <w:rPr>
          <w:rFonts w:cs="Arial"/>
          <w:szCs w:val="24"/>
        </w:rPr>
        <w:t xml:space="preserve"> </w:t>
      </w:r>
      <w:r w:rsidRPr="00B70594">
        <w:rPr>
          <w:rFonts w:cs="Arial"/>
          <w:szCs w:val="24"/>
        </w:rPr>
        <w:t xml:space="preserve"> </w:t>
      </w:r>
    </w:p>
    <w:p w14:paraId="36FED192" w14:textId="77777777" w:rsidR="00321CD3" w:rsidRPr="00B70594" w:rsidRDefault="00321CD3" w:rsidP="00321CD3">
      <w:pPr>
        <w:spacing w:after="0"/>
        <w:rPr>
          <w:rFonts w:cs="Arial"/>
          <w:szCs w:val="24"/>
        </w:rPr>
      </w:pPr>
      <w:r w:rsidRPr="00B70594">
        <w:rPr>
          <w:rFonts w:cs="Arial"/>
          <w:szCs w:val="24"/>
        </w:rPr>
        <w:t> </w:t>
      </w:r>
    </w:p>
    <w:p w14:paraId="68BA8C9A" w14:textId="0EF20726" w:rsidR="00321CD3" w:rsidRDefault="00321CD3" w:rsidP="00321CD3">
      <w:pPr>
        <w:rPr>
          <w:rFonts w:cs="Arial"/>
          <w:szCs w:val="24"/>
        </w:rPr>
      </w:pPr>
      <w:r w:rsidRPr="00B70594">
        <w:rPr>
          <w:rFonts w:cs="Arial"/>
          <w:szCs w:val="24"/>
        </w:rPr>
        <w:t>The ARAP</w:t>
      </w:r>
      <w:r w:rsidR="00186EF9">
        <w:rPr>
          <w:rFonts w:cs="Arial"/>
          <w:szCs w:val="24"/>
        </w:rPr>
        <w:t xml:space="preserve"> will be different to the current pre-application process.</w:t>
      </w:r>
      <w:r w:rsidRPr="00B70594">
        <w:rPr>
          <w:rFonts w:cs="Arial"/>
          <w:szCs w:val="24"/>
        </w:rPr>
        <w:t xml:space="preserve"> </w:t>
      </w:r>
      <w:r w:rsidR="00186EF9">
        <w:rPr>
          <w:rFonts w:cs="Arial"/>
          <w:szCs w:val="24"/>
        </w:rPr>
        <w:t xml:space="preserve">It </w:t>
      </w:r>
      <w:r w:rsidRPr="00B70594">
        <w:rPr>
          <w:rFonts w:cs="Arial"/>
          <w:szCs w:val="24"/>
        </w:rPr>
        <w:t>is intended to</w:t>
      </w:r>
      <w:r>
        <w:rPr>
          <w:rFonts w:cs="Arial"/>
          <w:szCs w:val="24"/>
        </w:rPr>
        <w:t xml:space="preserve"> make the MA application review more efficient and to</w:t>
      </w:r>
      <w:r w:rsidRPr="00B70594">
        <w:rPr>
          <w:rFonts w:cs="Arial"/>
          <w:szCs w:val="24"/>
        </w:rPr>
        <w:t xml:space="preserve"> </w:t>
      </w:r>
      <w:r w:rsidR="00A36B24">
        <w:rPr>
          <w:rFonts w:cs="Arial"/>
          <w:szCs w:val="24"/>
        </w:rPr>
        <w:t xml:space="preserve">help </w:t>
      </w:r>
      <w:r w:rsidRPr="00B70594">
        <w:rPr>
          <w:rFonts w:cs="Arial"/>
          <w:szCs w:val="24"/>
        </w:rPr>
        <w:t>reduce the overall review time</w:t>
      </w:r>
      <w:r w:rsidR="0059086B">
        <w:rPr>
          <w:rFonts w:cs="Arial"/>
          <w:szCs w:val="24"/>
        </w:rPr>
        <w:t xml:space="preserve"> as compared to the current approach</w:t>
      </w:r>
      <w:r>
        <w:rPr>
          <w:rFonts w:cs="Arial"/>
          <w:szCs w:val="24"/>
        </w:rPr>
        <w:t xml:space="preserve">. </w:t>
      </w:r>
    </w:p>
    <w:p w14:paraId="5FCB8D8C" w14:textId="77777777" w:rsidR="006A0B16" w:rsidRDefault="006A0B16" w:rsidP="00321CD3">
      <w:pPr>
        <w:rPr>
          <w:rFonts w:cs="Arial"/>
          <w:szCs w:val="24"/>
        </w:rPr>
      </w:pPr>
    </w:p>
    <w:p w14:paraId="57B0E37C" w14:textId="3B1BB632" w:rsidR="00321CD3" w:rsidRPr="001724DC" w:rsidRDefault="0059086B" w:rsidP="00321CD3">
      <w:pPr>
        <w:pStyle w:val="ListParagraph"/>
        <w:numPr>
          <w:ilvl w:val="0"/>
          <w:numId w:val="8"/>
        </w:numPr>
        <w:spacing w:after="200" w:line="276" w:lineRule="auto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>How should a firm participate in the</w:t>
      </w:r>
      <w:r w:rsidR="00321CD3" w:rsidRPr="001724DC">
        <w:rPr>
          <w:rFonts w:eastAsia="Times New Roman" w:cs="Arial"/>
          <w:b/>
          <w:bCs/>
          <w:szCs w:val="24"/>
        </w:rPr>
        <w:t xml:space="preserve"> ARAP?</w:t>
      </w:r>
    </w:p>
    <w:p w14:paraId="39DF8230" w14:textId="21047F3A" w:rsidR="0059086B" w:rsidRPr="001F63E1" w:rsidRDefault="001F63E1" w:rsidP="001F63E1">
      <w:pPr>
        <w:rPr>
          <w:rFonts w:cs="Arial"/>
          <w:szCs w:val="24"/>
        </w:rPr>
      </w:pPr>
      <w:r>
        <w:rPr>
          <w:rFonts w:cs="Arial"/>
          <w:szCs w:val="24"/>
        </w:rPr>
        <w:t>The PRA welcomes early engagement with firms that are considering submitting an MA application. As part of this, f</w:t>
      </w:r>
      <w:r w:rsidRPr="001F63E1">
        <w:rPr>
          <w:rFonts w:cs="Arial"/>
          <w:szCs w:val="24"/>
        </w:rPr>
        <w:t xml:space="preserve">irms </w:t>
      </w:r>
      <w:r>
        <w:rPr>
          <w:rFonts w:cs="Arial"/>
          <w:szCs w:val="24"/>
        </w:rPr>
        <w:t>would be expected to</w:t>
      </w:r>
      <w:r w:rsidRPr="001F63E1">
        <w:rPr>
          <w:rFonts w:cs="Arial"/>
          <w:szCs w:val="24"/>
        </w:rPr>
        <w:t xml:space="preserve"> notify their usual supervisory contact of any planned MA applications, including plans to participate in the ARAP</w:t>
      </w:r>
      <w:r w:rsidR="0059086B" w:rsidRPr="001F63E1">
        <w:rPr>
          <w:rFonts w:cs="Arial"/>
          <w:szCs w:val="24"/>
        </w:rPr>
        <w:t>.</w:t>
      </w:r>
    </w:p>
    <w:p w14:paraId="3813E955" w14:textId="4DC25E3F" w:rsidR="00321CD3" w:rsidRPr="00B70594" w:rsidRDefault="00321CD3" w:rsidP="00321CD3">
      <w:pPr>
        <w:spacing w:after="0"/>
        <w:rPr>
          <w:rFonts w:cs="Arial"/>
          <w:szCs w:val="24"/>
        </w:rPr>
      </w:pPr>
      <w:r w:rsidRPr="00B70594">
        <w:rPr>
          <w:rFonts w:cs="Arial"/>
          <w:szCs w:val="24"/>
        </w:rPr>
        <w:t>Firms will</w:t>
      </w:r>
      <w:r>
        <w:rPr>
          <w:rFonts w:cs="Arial"/>
          <w:szCs w:val="24"/>
        </w:rPr>
        <w:t xml:space="preserve"> be expected to complete the ARAP form</w:t>
      </w:r>
      <w:r w:rsidRPr="00B7059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which can be found </w:t>
      </w:r>
      <w:r w:rsidRPr="00B70594">
        <w:rPr>
          <w:rFonts w:cs="Arial"/>
          <w:szCs w:val="24"/>
        </w:rPr>
        <w:t>on the Bank of England website</w:t>
      </w:r>
      <w:r w:rsidR="009F70D5">
        <w:rPr>
          <w:rStyle w:val="FootnoteReference"/>
          <w:rFonts w:cs="Arial"/>
          <w:szCs w:val="24"/>
        </w:rPr>
        <w:footnoteReference w:id="4"/>
      </w:r>
      <w:r w:rsidRPr="00B70594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This form will include</w:t>
      </w:r>
      <w:r w:rsidRPr="00B7059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high level information on the scope of the proposed application, and evidence of the firm’s readiness to submit the application.</w:t>
      </w:r>
    </w:p>
    <w:p w14:paraId="6EEB412F" w14:textId="77777777" w:rsidR="00321CD3" w:rsidRPr="00B70594" w:rsidRDefault="00321CD3" w:rsidP="00321CD3">
      <w:pPr>
        <w:spacing w:after="0"/>
        <w:rPr>
          <w:rFonts w:cs="Arial"/>
          <w:szCs w:val="24"/>
        </w:rPr>
      </w:pPr>
      <w:r w:rsidRPr="00B70594">
        <w:rPr>
          <w:rFonts w:cs="Arial"/>
          <w:szCs w:val="24"/>
        </w:rPr>
        <w:t> </w:t>
      </w:r>
    </w:p>
    <w:p w14:paraId="7A910F71" w14:textId="0646C7B9" w:rsidR="0059086B" w:rsidRDefault="0059086B" w:rsidP="00321CD3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The f</w:t>
      </w:r>
      <w:r w:rsidR="00634F90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rm should be submitted to the PRA’s MA Permissions Team – </w:t>
      </w:r>
      <w:hyperlink r:id="rId8" w:history="1">
        <w:r w:rsidR="00A4669C" w:rsidRPr="00A87B45">
          <w:rPr>
            <w:rStyle w:val="Hyperlink"/>
            <w:rFonts w:cs="Arial"/>
            <w:szCs w:val="24"/>
          </w:rPr>
          <w:t>MAsubmissions@bankofengland.co.uk</w:t>
        </w:r>
      </w:hyperlink>
      <w:r w:rsidR="00A4669C">
        <w:rPr>
          <w:rFonts w:cs="Arial"/>
          <w:szCs w:val="24"/>
        </w:rPr>
        <w:t xml:space="preserve"> – cc’ing</w:t>
      </w:r>
      <w:r w:rsidR="00F87FD9">
        <w:rPr>
          <w:rFonts w:cs="Arial"/>
          <w:szCs w:val="24"/>
        </w:rPr>
        <w:t xml:space="preserve"> the firm’s usual supervisory contact</w:t>
      </w:r>
      <w:r w:rsidR="00CD26BA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CD26BA">
        <w:rPr>
          <w:rFonts w:cs="Arial"/>
          <w:szCs w:val="24"/>
        </w:rPr>
        <w:t>S</w:t>
      </w:r>
      <w:r w:rsidR="004006CC">
        <w:rPr>
          <w:rFonts w:cs="Arial"/>
          <w:szCs w:val="24"/>
        </w:rPr>
        <w:t xml:space="preserve">ubmission of the ARAP form </w:t>
      </w:r>
      <w:r>
        <w:rPr>
          <w:rFonts w:cs="Arial"/>
          <w:szCs w:val="24"/>
        </w:rPr>
        <w:t>will initiate engagement with the PRA’s MA Permissions Team.</w:t>
      </w:r>
    </w:p>
    <w:p w14:paraId="1135BB53" w14:textId="77777777" w:rsidR="00767FC5" w:rsidRDefault="00767FC5" w:rsidP="00321CD3">
      <w:pPr>
        <w:spacing w:after="0"/>
        <w:rPr>
          <w:rFonts w:cs="Arial"/>
          <w:szCs w:val="24"/>
        </w:rPr>
      </w:pPr>
    </w:p>
    <w:p w14:paraId="7CD14E69" w14:textId="759C3385" w:rsidR="00321CD3" w:rsidRPr="005B36A5" w:rsidRDefault="0059086B" w:rsidP="00321CD3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b/>
          <w:bCs/>
          <w:szCs w:val="24"/>
          <w:u w:val="single"/>
        </w:rPr>
      </w:pPr>
      <w:r>
        <w:rPr>
          <w:rFonts w:eastAsia="Times New Roman" w:cs="Arial"/>
          <w:b/>
          <w:bCs/>
          <w:szCs w:val="24"/>
        </w:rPr>
        <w:t xml:space="preserve">How </w:t>
      </w:r>
      <w:r w:rsidR="00321CD3" w:rsidRPr="005B36A5">
        <w:rPr>
          <w:rFonts w:eastAsia="Times New Roman" w:cs="Arial"/>
          <w:b/>
          <w:bCs/>
          <w:szCs w:val="24"/>
        </w:rPr>
        <w:t>should a firm submit an MA application?</w:t>
      </w:r>
    </w:p>
    <w:p w14:paraId="04BA1473" w14:textId="7277A479" w:rsidR="00321CD3" w:rsidRDefault="00321CD3" w:rsidP="00321CD3">
      <w:pPr>
        <w:spacing w:after="0"/>
        <w:rPr>
          <w:rFonts w:cs="Arial"/>
          <w:szCs w:val="24"/>
        </w:rPr>
      </w:pPr>
      <w:r w:rsidRPr="005B36A5">
        <w:rPr>
          <w:rFonts w:cs="Arial"/>
          <w:szCs w:val="24"/>
        </w:rPr>
        <w:t xml:space="preserve">The SoP </w:t>
      </w:r>
      <w:r>
        <w:rPr>
          <w:rFonts w:cs="Arial"/>
          <w:szCs w:val="24"/>
        </w:rPr>
        <w:t>sets out</w:t>
      </w:r>
      <w:r w:rsidRPr="005B36A5">
        <w:rPr>
          <w:rFonts w:cs="Arial"/>
          <w:szCs w:val="24"/>
        </w:rPr>
        <w:t xml:space="preserve"> what will be required of firms as part of the </w:t>
      </w:r>
      <w:r w:rsidR="004006CC">
        <w:rPr>
          <w:rFonts w:cs="Arial"/>
          <w:szCs w:val="24"/>
        </w:rPr>
        <w:t xml:space="preserve">MA </w:t>
      </w:r>
      <w:r w:rsidRPr="005B36A5">
        <w:rPr>
          <w:rFonts w:cs="Arial"/>
          <w:szCs w:val="24"/>
        </w:rPr>
        <w:t>application</w:t>
      </w:r>
      <w:r w:rsidR="004006CC">
        <w:rPr>
          <w:rFonts w:cs="Arial"/>
          <w:szCs w:val="24"/>
        </w:rPr>
        <w:t xml:space="preserve"> process</w:t>
      </w:r>
      <w:r w:rsidRPr="005B36A5">
        <w:rPr>
          <w:rFonts w:cs="Arial"/>
          <w:szCs w:val="24"/>
        </w:rPr>
        <w:t>.</w:t>
      </w:r>
      <w:r w:rsidR="004006CC">
        <w:rPr>
          <w:rFonts w:cs="Arial"/>
          <w:szCs w:val="24"/>
        </w:rPr>
        <w:t xml:space="preserve"> It also sets out how the PRA will conduct its review of an MA application.</w:t>
      </w:r>
    </w:p>
    <w:p w14:paraId="25EDB66A" w14:textId="77777777" w:rsidR="0059086B" w:rsidRDefault="0059086B" w:rsidP="00321CD3">
      <w:pPr>
        <w:spacing w:after="0"/>
        <w:rPr>
          <w:rFonts w:cs="Arial"/>
          <w:szCs w:val="24"/>
        </w:rPr>
      </w:pPr>
    </w:p>
    <w:p w14:paraId="62A114CB" w14:textId="62F6FCB1" w:rsidR="0059086B" w:rsidRDefault="0059086B" w:rsidP="00321CD3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A firm should submit the following:</w:t>
      </w:r>
    </w:p>
    <w:p w14:paraId="0DA33ACC" w14:textId="13381196" w:rsidR="0059086B" w:rsidRDefault="0059086B" w:rsidP="0059086B">
      <w:pPr>
        <w:pStyle w:val="ListParagraph"/>
        <w:numPr>
          <w:ilvl w:val="0"/>
          <w:numId w:val="12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S138BA FSMA Application Form</w:t>
      </w:r>
    </w:p>
    <w:p w14:paraId="48B3B491" w14:textId="12FC372C" w:rsidR="00645C34" w:rsidRPr="00CC0005" w:rsidRDefault="0059086B" w:rsidP="008C12A9">
      <w:pPr>
        <w:pStyle w:val="ListParagraph"/>
        <w:numPr>
          <w:ilvl w:val="0"/>
          <w:numId w:val="12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Supplementary Information Form </w:t>
      </w:r>
    </w:p>
    <w:p w14:paraId="0685B21F" w14:textId="77777777" w:rsidR="001F63E1" w:rsidRPr="00CC0005" w:rsidRDefault="001F63E1" w:rsidP="001F63E1">
      <w:pPr>
        <w:pStyle w:val="ListParagraph"/>
        <w:numPr>
          <w:ilvl w:val="0"/>
          <w:numId w:val="12"/>
        </w:numPr>
        <w:spacing w:after="0"/>
        <w:rPr>
          <w:rFonts w:cs="Arial"/>
          <w:szCs w:val="24"/>
        </w:rPr>
      </w:pPr>
      <w:r w:rsidRPr="00CC0005">
        <w:rPr>
          <w:rFonts w:cs="Arial"/>
          <w:szCs w:val="24"/>
        </w:rPr>
        <w:t>Documentary evidence relating to the MA application – for a firm submitting an application to vary an existing MA permission,</w:t>
      </w:r>
      <w:r>
        <w:rPr>
          <w:rFonts w:cs="Arial"/>
          <w:szCs w:val="24"/>
        </w:rPr>
        <w:t xml:space="preserve"> changes to this evidence from that previously submitted to the PRA to support the existing permission should be clearly signposted using ‘track changes’.</w:t>
      </w:r>
      <w:r w:rsidRPr="00CC0005">
        <w:rPr>
          <w:rFonts w:cs="Arial"/>
          <w:szCs w:val="24"/>
        </w:rPr>
        <w:t xml:space="preserve"> </w:t>
      </w:r>
    </w:p>
    <w:p w14:paraId="526A13F0" w14:textId="77777777" w:rsidR="00BE6B87" w:rsidRDefault="00BE6B87" w:rsidP="008C12A9">
      <w:pPr>
        <w:spacing w:after="0"/>
        <w:rPr>
          <w:rFonts w:cs="Arial"/>
          <w:szCs w:val="24"/>
        </w:rPr>
      </w:pPr>
    </w:p>
    <w:p w14:paraId="3C933F59" w14:textId="1E17D5AD" w:rsidR="008C12A9" w:rsidRPr="008C12A9" w:rsidRDefault="008C12A9" w:rsidP="008C12A9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These should be submitted to PRA Authorisations by email at </w:t>
      </w:r>
      <w:hyperlink r:id="rId9" w:history="1">
        <w:r w:rsidR="004211BA">
          <w:rPr>
            <w:rStyle w:val="Hyperlink"/>
            <w:szCs w:val="24"/>
          </w:rPr>
          <w:t>pra-waivers@bankofengland.co.uk</w:t>
        </w:r>
      </w:hyperlink>
      <w:r>
        <w:rPr>
          <w:rFonts w:cs="Arial"/>
          <w:szCs w:val="24"/>
        </w:rPr>
        <w:t>, cc’ing the MA Permissions Team (</w:t>
      </w:r>
      <w:hyperlink r:id="rId10" w:history="1">
        <w:r w:rsidRPr="00087E3A">
          <w:rPr>
            <w:rStyle w:val="Hyperlink"/>
            <w:rFonts w:cs="Arial"/>
            <w:szCs w:val="24"/>
          </w:rPr>
          <w:t>MAsubmissions@bankofengland.co.uk</w:t>
        </w:r>
      </w:hyperlink>
      <w:r>
        <w:rPr>
          <w:rFonts w:cs="Arial"/>
          <w:szCs w:val="24"/>
        </w:rPr>
        <w:t>) and the firm’s usual supervisory contact.</w:t>
      </w:r>
    </w:p>
    <w:p w14:paraId="71AF2E74" w14:textId="77777777" w:rsidR="00321CD3" w:rsidRDefault="00321CD3" w:rsidP="008C12A9">
      <w:pPr>
        <w:spacing w:after="0"/>
        <w:rPr>
          <w:rFonts w:cs="Arial"/>
          <w:szCs w:val="24"/>
        </w:rPr>
      </w:pPr>
    </w:p>
    <w:p w14:paraId="7BCA3940" w14:textId="10770021" w:rsidR="008C12A9" w:rsidRDefault="008C12A9" w:rsidP="008C12A9">
      <w:pPr>
        <w:pStyle w:val="ListParagraph"/>
        <w:numPr>
          <w:ilvl w:val="0"/>
          <w:numId w:val="8"/>
        </w:numPr>
        <w:spacing w:after="0"/>
        <w:rPr>
          <w:rFonts w:cs="Arial"/>
          <w:b/>
          <w:bCs/>
          <w:szCs w:val="24"/>
        </w:rPr>
      </w:pPr>
      <w:r w:rsidRPr="008C12A9">
        <w:rPr>
          <w:rFonts w:cs="Arial"/>
          <w:b/>
          <w:bCs/>
          <w:szCs w:val="24"/>
        </w:rPr>
        <w:t>When does this process apply from?</w:t>
      </w:r>
    </w:p>
    <w:p w14:paraId="0BD7B311" w14:textId="77777777" w:rsidR="008C12A9" w:rsidRDefault="008C12A9" w:rsidP="008C12A9">
      <w:pPr>
        <w:spacing w:after="0"/>
        <w:rPr>
          <w:rFonts w:cs="Arial"/>
          <w:b/>
          <w:bCs/>
          <w:szCs w:val="24"/>
        </w:rPr>
      </w:pPr>
    </w:p>
    <w:p w14:paraId="225A9F71" w14:textId="0F73FFDA" w:rsidR="008C12A9" w:rsidRDefault="008C12A9" w:rsidP="008C12A9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A firm can</w:t>
      </w:r>
      <w:r w:rsidR="004006CC">
        <w:rPr>
          <w:rFonts w:cs="Arial"/>
          <w:szCs w:val="24"/>
        </w:rPr>
        <w:t xml:space="preserve"> participate</w:t>
      </w:r>
      <w:r>
        <w:rPr>
          <w:rFonts w:cs="Arial"/>
          <w:szCs w:val="24"/>
        </w:rPr>
        <w:t xml:space="preserve"> in the ARAP from 6 June 2024. </w:t>
      </w:r>
    </w:p>
    <w:p w14:paraId="0D1A1ADD" w14:textId="77777777" w:rsidR="008C12A9" w:rsidRDefault="008C12A9" w:rsidP="008C12A9">
      <w:pPr>
        <w:spacing w:after="0"/>
        <w:rPr>
          <w:rFonts w:cs="Arial"/>
          <w:szCs w:val="24"/>
        </w:rPr>
      </w:pPr>
    </w:p>
    <w:p w14:paraId="6769956A" w14:textId="1F02254E" w:rsidR="00E977B1" w:rsidRPr="006A0B16" w:rsidRDefault="001F63E1" w:rsidP="006A0B16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Firms should submit applications in accordance with </w:t>
      </w:r>
      <w:r w:rsidR="004E7871">
        <w:rPr>
          <w:rFonts w:cs="Arial"/>
          <w:szCs w:val="24"/>
        </w:rPr>
        <w:t>s</w:t>
      </w:r>
      <w:r>
        <w:rPr>
          <w:rFonts w:cs="Arial"/>
          <w:szCs w:val="24"/>
        </w:rPr>
        <w:t>138BA of FSMA from 30 June 2024, in the format set out under Q</w:t>
      </w:r>
      <w:r w:rsidR="004E7871">
        <w:rPr>
          <w:rFonts w:cs="Arial"/>
          <w:szCs w:val="24"/>
        </w:rPr>
        <w:t xml:space="preserve">uestion </w:t>
      </w:r>
      <w:r>
        <w:rPr>
          <w:rFonts w:cs="Arial"/>
          <w:szCs w:val="24"/>
        </w:rPr>
        <w:t xml:space="preserve">4 above. </w:t>
      </w:r>
      <w:r w:rsidR="004006CC">
        <w:rPr>
          <w:rFonts w:cs="Arial"/>
          <w:szCs w:val="24"/>
        </w:rPr>
        <w:t xml:space="preserve">The PRA will reach out individually </w:t>
      </w:r>
      <w:r w:rsidR="004006CC">
        <w:rPr>
          <w:rFonts w:cs="Arial"/>
          <w:szCs w:val="24"/>
        </w:rPr>
        <w:lastRenderedPageBreak/>
        <w:t>to firms who have submitted MA applications under the existing regime in advance of 30 June 2024</w:t>
      </w:r>
      <w:r w:rsidR="004E7871">
        <w:rPr>
          <w:rFonts w:cs="Arial"/>
          <w:szCs w:val="24"/>
        </w:rPr>
        <w:t>.</w:t>
      </w:r>
      <w:r w:rsidR="004006CC">
        <w:rPr>
          <w:rFonts w:cs="Arial"/>
          <w:szCs w:val="24"/>
        </w:rPr>
        <w:t xml:space="preserve"> </w:t>
      </w:r>
    </w:p>
    <w:sectPr w:rsidR="00E977B1" w:rsidRPr="006A0B16" w:rsidSect="002B0BDE">
      <w:headerReference w:type="even" r:id="rId11"/>
      <w:headerReference w:type="default" r:id="rId12"/>
      <w:headerReference w:type="first" r:id="rId13"/>
      <w:pgSz w:w="11906" w:h="16838"/>
      <w:pgMar w:top="1172" w:right="1304" w:bottom="998" w:left="1304" w:header="284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B776" w14:textId="77777777" w:rsidR="00AC132D" w:rsidRDefault="00AC132D" w:rsidP="00766334">
      <w:r>
        <w:separator/>
      </w:r>
    </w:p>
  </w:endnote>
  <w:endnote w:type="continuationSeparator" w:id="0">
    <w:p w14:paraId="20EB2CB2" w14:textId="77777777" w:rsidR="00AC132D" w:rsidRDefault="00AC132D" w:rsidP="0076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6C64" w14:textId="77777777" w:rsidR="00AC132D" w:rsidRPr="006E479E" w:rsidRDefault="00AC132D" w:rsidP="006E479E">
      <w:pPr>
        <w:spacing w:after="0"/>
        <w:rPr>
          <w:color w:val="17365D"/>
        </w:rPr>
      </w:pPr>
      <w:r w:rsidRPr="00F62CFA">
        <w:rPr>
          <w:color w:val="17365D"/>
        </w:rPr>
        <w:continuationSeparator/>
      </w:r>
    </w:p>
  </w:footnote>
  <w:footnote w:type="continuationSeparator" w:id="0">
    <w:p w14:paraId="6AB6809E" w14:textId="77777777" w:rsidR="00AC132D" w:rsidRDefault="00AC132D" w:rsidP="00766334">
      <w:r>
        <w:continuationSeparator/>
      </w:r>
    </w:p>
  </w:footnote>
  <w:footnote w:type="continuationNotice" w:id="1">
    <w:p w14:paraId="6BD5E24F" w14:textId="77777777" w:rsidR="00AC132D" w:rsidRDefault="00AC132D">
      <w:pPr>
        <w:spacing w:after="0"/>
      </w:pPr>
    </w:p>
  </w:footnote>
  <w:footnote w:id="2">
    <w:p w14:paraId="324284D7" w14:textId="340E9166" w:rsidR="009F70D5" w:rsidRDefault="009F70D5" w:rsidP="00002407">
      <w:pPr>
        <w:pStyle w:val="FootnoteText"/>
        <w:tabs>
          <w:tab w:val="left" w:pos="340"/>
        </w:tabs>
        <w:ind w:left="340" w:hanging="340"/>
      </w:pPr>
      <w:r>
        <w:rPr>
          <w:rStyle w:val="FootnoteReference"/>
        </w:rPr>
        <w:footnoteRef/>
      </w:r>
      <w:r w:rsidR="00002407">
        <w:t xml:space="preserve"> </w:t>
      </w:r>
      <w:r w:rsidR="00002407">
        <w:tab/>
      </w:r>
      <w:hyperlink r:id="rId1" w:history="1">
        <w:r w:rsidR="00002407" w:rsidRPr="00DF2C9F">
          <w:rPr>
            <w:rStyle w:val="Hyperlink"/>
          </w:rPr>
          <w:t>https://www.bankofengland.co.uk/prudential-regulation/publication/2024/june/solvency-ii-matching-adjustment-permissions-statement-of-policy</w:t>
        </w:r>
      </w:hyperlink>
      <w:r w:rsidR="00002407">
        <w:t xml:space="preserve"> </w:t>
      </w:r>
    </w:p>
  </w:footnote>
  <w:footnote w:id="3">
    <w:p w14:paraId="3E9FF9A6" w14:textId="5C3D92DB" w:rsidR="009F70D5" w:rsidRDefault="009F70D5" w:rsidP="00002407">
      <w:pPr>
        <w:pStyle w:val="FootnoteText"/>
        <w:tabs>
          <w:tab w:val="left" w:pos="340"/>
        </w:tabs>
        <w:ind w:left="340" w:hanging="340"/>
      </w:pPr>
      <w:r>
        <w:rPr>
          <w:rStyle w:val="FootnoteReference"/>
        </w:rPr>
        <w:footnoteRef/>
      </w:r>
      <w:r w:rsidR="00002407">
        <w:t xml:space="preserve"> </w:t>
      </w:r>
      <w:r w:rsidR="00002407">
        <w:tab/>
      </w:r>
      <w:hyperlink r:id="rId2" w:history="1">
        <w:r w:rsidR="00002407" w:rsidRPr="00DF2C9F">
          <w:rPr>
            <w:rStyle w:val="Hyperlink"/>
          </w:rPr>
          <w:t>https://www.bankofengland.co.uk/prudential-regulation/authorisations/solvency-ii-approvals</w:t>
        </w:r>
      </w:hyperlink>
      <w:r w:rsidR="00002407">
        <w:t xml:space="preserve"> </w:t>
      </w:r>
    </w:p>
  </w:footnote>
  <w:footnote w:id="4">
    <w:p w14:paraId="493A55B3" w14:textId="4C7FF03E" w:rsidR="009F70D5" w:rsidRDefault="009F70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02407">
        <w:tab/>
      </w:r>
      <w:hyperlink r:id="rId3" w:history="1">
        <w:r w:rsidR="00002407" w:rsidRPr="00DF2C9F">
          <w:rPr>
            <w:rStyle w:val="Hyperlink"/>
          </w:rPr>
          <w:t>https://www.bankofengland.co.uk/prudential-regulation/authorisations/solvency-ii-approvals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A315" w14:textId="4F47215F" w:rsidR="00ED438D" w:rsidRDefault="00ED43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D80C01" wp14:editId="7F4AACAB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514350" r="0" b="511175"/>
              <wp:wrapNone/>
              <wp:docPr id="3" name="Text Box 3" descr=" Amber Supervision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B387C" w14:textId="1532DF04" w:rsidR="00ED438D" w:rsidRPr="00ED438D" w:rsidRDefault="00ED438D" w:rsidP="00ED43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D43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Amber Supervision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80C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 Amber Supervision Sensitive " style="position:absolute;margin-left:0;margin-top:0;width:34.95pt;height:34.95pt;rotation:-45;z-index:-25165875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5F7B387C" w14:textId="1532DF04" w:rsidR="00ED438D" w:rsidRPr="00ED438D" w:rsidRDefault="00ED438D" w:rsidP="00ED43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D43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 xml:space="preserve"> Amber Supervision Sensitive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EBE9" w14:textId="19535ECA" w:rsidR="00766334" w:rsidRPr="00046ABC" w:rsidRDefault="00000000" w:rsidP="002B0BDE">
    <w:pPr>
      <w:pStyle w:val="BoECatchline"/>
      <w:pBdr>
        <w:bottom w:val="single" w:sz="8" w:space="7" w:color="12273F"/>
      </w:pBdr>
      <w:tabs>
        <w:tab w:val="clear" w:pos="3799"/>
        <w:tab w:val="left" w:pos="5670"/>
      </w:tabs>
      <w:spacing w:before="480" w:after="240"/>
    </w:pPr>
    <w:sdt>
      <w:sdtPr>
        <w:id w:val="-2006378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sdt>
          <w:sdtPr>
            <w:id w:val="-1093771919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="00E84B40">
              <w:t>Bank of England</w:t>
            </w:r>
            <w:r w:rsidR="00EE4E3F">
              <w:t xml:space="preserve"> | Prudential Regulation Authority</w:t>
            </w:r>
            <w:r w:rsidR="00046ABC">
              <w:tab/>
            </w:r>
          </w:sdtContent>
        </w:sdt>
        <w:r w:rsidR="00046ABC" w:rsidRPr="00F2560C">
          <w:rPr>
            <w:b w:val="0"/>
          </w:rPr>
          <w:tab/>
          <w:t xml:space="preserve"> Page </w:t>
        </w:r>
        <w:r w:rsidR="00046ABC" w:rsidRPr="00F2560C">
          <w:rPr>
            <w:b w:val="0"/>
          </w:rPr>
          <w:fldChar w:fldCharType="begin"/>
        </w:r>
        <w:r w:rsidR="00046ABC" w:rsidRPr="00F2560C">
          <w:rPr>
            <w:b w:val="0"/>
          </w:rPr>
          <w:instrText xml:space="preserve"> PAGE   \* MERGEFORMAT </w:instrText>
        </w:r>
        <w:r w:rsidR="00046ABC" w:rsidRPr="00F2560C">
          <w:rPr>
            <w:b w:val="0"/>
          </w:rPr>
          <w:fldChar w:fldCharType="separate"/>
        </w:r>
        <w:r w:rsidR="006614FF">
          <w:rPr>
            <w:b w:val="0"/>
            <w:noProof/>
          </w:rPr>
          <w:t>2</w:t>
        </w:r>
        <w:r w:rsidR="00046ABC" w:rsidRPr="00F2560C">
          <w:rPr>
            <w:b w:val="0"/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2958" w14:textId="7668C203" w:rsidR="000556BF" w:rsidRPr="00CD4FBB" w:rsidRDefault="00866C67" w:rsidP="00CD4FBB">
    <w:pPr>
      <w:spacing w:after="1400"/>
      <w:rPr>
        <w:rFonts w:ascii="Century Gothic" w:hAnsi="Century Gothic"/>
        <w:sz w:val="40"/>
        <w:szCs w:val="40"/>
      </w:rPr>
    </w:pPr>
    <w:r w:rsidRPr="00CD4FBB">
      <w:rPr>
        <w:rFonts w:ascii="Century Gothic" w:hAnsi="Century Gothic"/>
        <w:noProof/>
        <w:sz w:val="40"/>
        <w:szCs w:val="40"/>
      </w:rPr>
      <w:drawing>
        <wp:anchor distT="0" distB="0" distL="114300" distR="114300" simplePos="0" relativeHeight="251655680" behindDoc="0" locked="0" layoutInCell="1" allowOverlap="1" wp14:anchorId="4F9713E0" wp14:editId="2BE7F1B7">
          <wp:simplePos x="0" y="0"/>
          <wp:positionH relativeFrom="page">
            <wp:posOffset>826770</wp:posOffset>
          </wp:positionH>
          <wp:positionV relativeFrom="page">
            <wp:posOffset>632460</wp:posOffset>
          </wp:positionV>
          <wp:extent cx="2814320" cy="283845"/>
          <wp:effectExtent l="0" t="0" r="5080" b="1905"/>
          <wp:wrapNone/>
          <wp:docPr id="10" name="BO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030C"/>
    <w:multiLevelType w:val="hybridMultilevel"/>
    <w:tmpl w:val="1B30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4453"/>
    <w:multiLevelType w:val="hybridMultilevel"/>
    <w:tmpl w:val="D5F4B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803ED"/>
    <w:multiLevelType w:val="hybridMultilevel"/>
    <w:tmpl w:val="75465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12736"/>
    <w:multiLevelType w:val="hybridMultilevel"/>
    <w:tmpl w:val="AD6E0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02381"/>
    <w:multiLevelType w:val="hybridMultilevel"/>
    <w:tmpl w:val="3EEE7B6A"/>
    <w:lvl w:ilvl="0" w:tplc="311C599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35050"/>
    <w:multiLevelType w:val="hybridMultilevel"/>
    <w:tmpl w:val="F50A1C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725387"/>
    <w:multiLevelType w:val="hybridMultilevel"/>
    <w:tmpl w:val="673C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22BAF"/>
    <w:multiLevelType w:val="hybridMultilevel"/>
    <w:tmpl w:val="2726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A7314"/>
    <w:multiLevelType w:val="hybridMultilevel"/>
    <w:tmpl w:val="4A46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564CF"/>
    <w:multiLevelType w:val="multilevel"/>
    <w:tmpl w:val="07E05D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70ED1451"/>
    <w:multiLevelType w:val="hybridMultilevel"/>
    <w:tmpl w:val="830A8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CD0"/>
    <w:multiLevelType w:val="hybridMultilevel"/>
    <w:tmpl w:val="2D86D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030804">
    <w:abstractNumId w:val="0"/>
  </w:num>
  <w:num w:numId="2" w16cid:durableId="346955143">
    <w:abstractNumId w:val="8"/>
  </w:num>
  <w:num w:numId="3" w16cid:durableId="1954290275">
    <w:abstractNumId w:val="3"/>
  </w:num>
  <w:num w:numId="4" w16cid:durableId="1853452476">
    <w:abstractNumId w:val="2"/>
  </w:num>
  <w:num w:numId="5" w16cid:durableId="719328162">
    <w:abstractNumId w:val="6"/>
  </w:num>
  <w:num w:numId="6" w16cid:durableId="1915387191">
    <w:abstractNumId w:val="4"/>
  </w:num>
  <w:num w:numId="7" w16cid:durableId="1821967351">
    <w:abstractNumId w:val="7"/>
  </w:num>
  <w:num w:numId="8" w16cid:durableId="1069577164">
    <w:abstractNumId w:val="10"/>
  </w:num>
  <w:num w:numId="9" w16cid:durableId="740638919">
    <w:abstractNumId w:val="1"/>
  </w:num>
  <w:num w:numId="10" w16cid:durableId="1346977294">
    <w:abstractNumId w:val="5"/>
  </w:num>
  <w:num w:numId="11" w16cid:durableId="1720671022">
    <w:abstractNumId w:val="9"/>
  </w:num>
  <w:num w:numId="12" w16cid:durableId="408845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3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D3"/>
    <w:rsid w:val="00002407"/>
    <w:rsid w:val="00016534"/>
    <w:rsid w:val="000206DE"/>
    <w:rsid w:val="00046ABC"/>
    <w:rsid w:val="00052B93"/>
    <w:rsid w:val="0005306F"/>
    <w:rsid w:val="000556BF"/>
    <w:rsid w:val="00061808"/>
    <w:rsid w:val="000661ED"/>
    <w:rsid w:val="000722C7"/>
    <w:rsid w:val="000740EA"/>
    <w:rsid w:val="00090FA4"/>
    <w:rsid w:val="000A0DF3"/>
    <w:rsid w:val="000A4C3D"/>
    <w:rsid w:val="000C0F8D"/>
    <w:rsid w:val="000F0DD0"/>
    <w:rsid w:val="000F1625"/>
    <w:rsid w:val="000F64FB"/>
    <w:rsid w:val="001510C8"/>
    <w:rsid w:val="00152A37"/>
    <w:rsid w:val="001739CE"/>
    <w:rsid w:val="001821F7"/>
    <w:rsid w:val="00183232"/>
    <w:rsid w:val="00183D91"/>
    <w:rsid w:val="00186EF9"/>
    <w:rsid w:val="001A3F9D"/>
    <w:rsid w:val="001D5F04"/>
    <w:rsid w:val="001F63E1"/>
    <w:rsid w:val="00223490"/>
    <w:rsid w:val="00234A46"/>
    <w:rsid w:val="00241867"/>
    <w:rsid w:val="00293939"/>
    <w:rsid w:val="002A6556"/>
    <w:rsid w:val="002B0BDE"/>
    <w:rsid w:val="002B4564"/>
    <w:rsid w:val="002C0D11"/>
    <w:rsid w:val="002C4385"/>
    <w:rsid w:val="003039AB"/>
    <w:rsid w:val="003063B8"/>
    <w:rsid w:val="00306B91"/>
    <w:rsid w:val="00321CD3"/>
    <w:rsid w:val="003245DB"/>
    <w:rsid w:val="00345479"/>
    <w:rsid w:val="0036527C"/>
    <w:rsid w:val="00377CC4"/>
    <w:rsid w:val="00397654"/>
    <w:rsid w:val="003B0B6B"/>
    <w:rsid w:val="003E39FE"/>
    <w:rsid w:val="004006CC"/>
    <w:rsid w:val="00407C30"/>
    <w:rsid w:val="0041033C"/>
    <w:rsid w:val="004211BA"/>
    <w:rsid w:val="0043319C"/>
    <w:rsid w:val="00442878"/>
    <w:rsid w:val="0044721A"/>
    <w:rsid w:val="00453499"/>
    <w:rsid w:val="00465296"/>
    <w:rsid w:val="004813D6"/>
    <w:rsid w:val="004957F4"/>
    <w:rsid w:val="004974D5"/>
    <w:rsid w:val="004A5E1B"/>
    <w:rsid w:val="004C6E6C"/>
    <w:rsid w:val="004D04AA"/>
    <w:rsid w:val="004E40CD"/>
    <w:rsid w:val="004E6475"/>
    <w:rsid w:val="004E7871"/>
    <w:rsid w:val="004F6ACB"/>
    <w:rsid w:val="00510456"/>
    <w:rsid w:val="0052370C"/>
    <w:rsid w:val="00541C76"/>
    <w:rsid w:val="00547723"/>
    <w:rsid w:val="00551B39"/>
    <w:rsid w:val="0055525B"/>
    <w:rsid w:val="00585756"/>
    <w:rsid w:val="0059086B"/>
    <w:rsid w:val="00595E00"/>
    <w:rsid w:val="00595FB7"/>
    <w:rsid w:val="005E4742"/>
    <w:rsid w:val="00624607"/>
    <w:rsid w:val="00624BFB"/>
    <w:rsid w:val="00627868"/>
    <w:rsid w:val="006322D3"/>
    <w:rsid w:val="00634F90"/>
    <w:rsid w:val="0064587E"/>
    <w:rsid w:val="00645C34"/>
    <w:rsid w:val="00655CF0"/>
    <w:rsid w:val="00660B02"/>
    <w:rsid w:val="00660B65"/>
    <w:rsid w:val="006614FF"/>
    <w:rsid w:val="006751E7"/>
    <w:rsid w:val="006855DA"/>
    <w:rsid w:val="006A0B16"/>
    <w:rsid w:val="006A5753"/>
    <w:rsid w:val="006A585F"/>
    <w:rsid w:val="006A7C94"/>
    <w:rsid w:val="006C716D"/>
    <w:rsid w:val="006D7494"/>
    <w:rsid w:val="006D7E9E"/>
    <w:rsid w:val="006E479E"/>
    <w:rsid w:val="006F38DF"/>
    <w:rsid w:val="007337C4"/>
    <w:rsid w:val="00736976"/>
    <w:rsid w:val="007372BA"/>
    <w:rsid w:val="00760D49"/>
    <w:rsid w:val="00766334"/>
    <w:rsid w:val="00767FC5"/>
    <w:rsid w:val="00783B1C"/>
    <w:rsid w:val="007905AB"/>
    <w:rsid w:val="007A2324"/>
    <w:rsid w:val="007A66D3"/>
    <w:rsid w:val="007B475A"/>
    <w:rsid w:val="007F7376"/>
    <w:rsid w:val="00821987"/>
    <w:rsid w:val="008334DB"/>
    <w:rsid w:val="00835ADF"/>
    <w:rsid w:val="008630F5"/>
    <w:rsid w:val="00866C67"/>
    <w:rsid w:val="00874B0C"/>
    <w:rsid w:val="00887148"/>
    <w:rsid w:val="00891D7B"/>
    <w:rsid w:val="008B0C3D"/>
    <w:rsid w:val="008C12A9"/>
    <w:rsid w:val="008C67C9"/>
    <w:rsid w:val="008D4597"/>
    <w:rsid w:val="00915B9F"/>
    <w:rsid w:val="009160A0"/>
    <w:rsid w:val="00925E66"/>
    <w:rsid w:val="00937858"/>
    <w:rsid w:val="00944346"/>
    <w:rsid w:val="00955482"/>
    <w:rsid w:val="009733EB"/>
    <w:rsid w:val="009C78E9"/>
    <w:rsid w:val="009D449A"/>
    <w:rsid w:val="009E1017"/>
    <w:rsid w:val="009F70D5"/>
    <w:rsid w:val="00A00E1E"/>
    <w:rsid w:val="00A17C3E"/>
    <w:rsid w:val="00A21E64"/>
    <w:rsid w:val="00A36B24"/>
    <w:rsid w:val="00A407A2"/>
    <w:rsid w:val="00A4669C"/>
    <w:rsid w:val="00A55808"/>
    <w:rsid w:val="00A62C46"/>
    <w:rsid w:val="00A72783"/>
    <w:rsid w:val="00A840F7"/>
    <w:rsid w:val="00A8685A"/>
    <w:rsid w:val="00AA45A9"/>
    <w:rsid w:val="00AB166D"/>
    <w:rsid w:val="00AC132D"/>
    <w:rsid w:val="00B25D60"/>
    <w:rsid w:val="00B27F95"/>
    <w:rsid w:val="00B36DDC"/>
    <w:rsid w:val="00B41884"/>
    <w:rsid w:val="00B600D5"/>
    <w:rsid w:val="00B61577"/>
    <w:rsid w:val="00B938B0"/>
    <w:rsid w:val="00B943AC"/>
    <w:rsid w:val="00BA3D19"/>
    <w:rsid w:val="00BA76EC"/>
    <w:rsid w:val="00BB5EC2"/>
    <w:rsid w:val="00BB6E38"/>
    <w:rsid w:val="00BC4AA7"/>
    <w:rsid w:val="00BE6B87"/>
    <w:rsid w:val="00C013B8"/>
    <w:rsid w:val="00C04442"/>
    <w:rsid w:val="00C26B9A"/>
    <w:rsid w:val="00C42DA3"/>
    <w:rsid w:val="00C679DF"/>
    <w:rsid w:val="00C81CFC"/>
    <w:rsid w:val="00C86095"/>
    <w:rsid w:val="00C91304"/>
    <w:rsid w:val="00C95CCB"/>
    <w:rsid w:val="00CA136B"/>
    <w:rsid w:val="00CB6E80"/>
    <w:rsid w:val="00CB7F7D"/>
    <w:rsid w:val="00CC0005"/>
    <w:rsid w:val="00CD26BA"/>
    <w:rsid w:val="00CD3E7C"/>
    <w:rsid w:val="00CD4FBB"/>
    <w:rsid w:val="00CE215E"/>
    <w:rsid w:val="00CE4E88"/>
    <w:rsid w:val="00CE6C56"/>
    <w:rsid w:val="00D024A7"/>
    <w:rsid w:val="00D20DF3"/>
    <w:rsid w:val="00D3270D"/>
    <w:rsid w:val="00D37968"/>
    <w:rsid w:val="00D45051"/>
    <w:rsid w:val="00D56B44"/>
    <w:rsid w:val="00D7627F"/>
    <w:rsid w:val="00D80C6B"/>
    <w:rsid w:val="00D84CA8"/>
    <w:rsid w:val="00D93826"/>
    <w:rsid w:val="00DC3434"/>
    <w:rsid w:val="00DD149B"/>
    <w:rsid w:val="00DD2E49"/>
    <w:rsid w:val="00DE3E49"/>
    <w:rsid w:val="00DE4CC8"/>
    <w:rsid w:val="00DF46C0"/>
    <w:rsid w:val="00DF499D"/>
    <w:rsid w:val="00E06EBF"/>
    <w:rsid w:val="00E1341F"/>
    <w:rsid w:val="00E21927"/>
    <w:rsid w:val="00E44BDE"/>
    <w:rsid w:val="00E453A2"/>
    <w:rsid w:val="00E605A6"/>
    <w:rsid w:val="00E74562"/>
    <w:rsid w:val="00E759E6"/>
    <w:rsid w:val="00E84B40"/>
    <w:rsid w:val="00E977B1"/>
    <w:rsid w:val="00EA1000"/>
    <w:rsid w:val="00ED438D"/>
    <w:rsid w:val="00EE4E3F"/>
    <w:rsid w:val="00EE5F71"/>
    <w:rsid w:val="00F00FCA"/>
    <w:rsid w:val="00F07D10"/>
    <w:rsid w:val="00F1248A"/>
    <w:rsid w:val="00F17ABA"/>
    <w:rsid w:val="00F36393"/>
    <w:rsid w:val="00F3753F"/>
    <w:rsid w:val="00F43A97"/>
    <w:rsid w:val="00F51051"/>
    <w:rsid w:val="00F54DF5"/>
    <w:rsid w:val="00F62388"/>
    <w:rsid w:val="00F63BF3"/>
    <w:rsid w:val="00F766A4"/>
    <w:rsid w:val="00F85616"/>
    <w:rsid w:val="00F87FD9"/>
    <w:rsid w:val="00FD0FD1"/>
    <w:rsid w:val="00FD5FF9"/>
    <w:rsid w:val="00FD62D8"/>
    <w:rsid w:val="00FF3DE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DE5F5"/>
  <w15:chartTrackingRefBased/>
  <w15:docId w15:val="{A728FC5E-D841-44BF-8916-663BA97E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2" w:qFormat="1"/>
    <w:lsdException w:name="heading 6" w:semiHidden="1" w:uiPriority="22" w:qFormat="1"/>
    <w:lsdException w:name="heading 7" w:semiHidden="1" w:uiPriority="22" w:qFormat="1"/>
    <w:lsdException w:name="heading 8" w:semiHidden="1" w:uiPriority="22" w:qFormat="1"/>
    <w:lsdException w:name="heading 9" w:semiHidden="1" w:uiPriority="2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2"/>
    <w:lsdException w:name="toc 2" w:semiHidden="1" w:uiPriority="52"/>
    <w:lsdException w:name="toc 3" w:semiHidden="1" w:uiPriority="52"/>
    <w:lsdException w:name="toc 4" w:semiHidden="1" w:uiPriority="52"/>
    <w:lsdException w:name="toc 5" w:semiHidden="1" w:uiPriority="52"/>
    <w:lsdException w:name="toc 6" w:semiHidden="1" w:uiPriority="52"/>
    <w:lsdException w:name="toc 7" w:semiHidden="1" w:uiPriority="52"/>
    <w:lsdException w:name="toc 8" w:semiHidden="1" w:uiPriority="52"/>
    <w:lsdException w:name="toc 9" w:semiHidden="1" w:uiPriority="52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4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35" w:qFormat="1"/>
    <w:lsdException w:name="Emphasis" w:semiHidden="1" w:uiPriority="3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2" w:qFormat="1"/>
    <w:lsdException w:name="Intense Quote" w:semiHidden="1" w:uiPriority="4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2" w:qFormat="1"/>
    <w:lsdException w:name="Intense Emphasis" w:semiHidden="1" w:uiPriority="34" w:qFormat="1"/>
    <w:lsdException w:name="Subtle Reference" w:semiHidden="1" w:uiPriority="44" w:qFormat="1"/>
    <w:lsdException w:name="Intense Reference" w:semiHidden="1" w:uiPriority="45" w:qFormat="1"/>
    <w:lsdException w:name="Book Title" w:semiHidden="1" w:uiPriority="46" w:qFormat="1"/>
    <w:lsdException w:name="Bibliography" w:semiHidden="1" w:uiPriority="50" w:unhideWhenUsed="1"/>
    <w:lsdException w:name="TOC Heading" w:semiHidden="1" w:uiPriority="5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E Body Text"/>
    <w:qFormat/>
    <w:rsid w:val="00FF67E1"/>
    <w:pPr>
      <w:spacing w:after="260" w:line="300" w:lineRule="auto"/>
    </w:pPr>
    <w:rPr>
      <w:rFonts w:ascii="Arial" w:eastAsia="Times New Roman" w:hAnsi="Arial" w:cs="Times New Roman"/>
      <w:sz w:val="24"/>
      <w:lang w:eastAsia="en-GB"/>
    </w:rPr>
  </w:style>
  <w:style w:type="paragraph" w:styleId="Heading1">
    <w:name w:val="heading 1"/>
    <w:aliases w:val="BoE Heading 1"/>
    <w:basedOn w:val="Normal"/>
    <w:next w:val="Normal"/>
    <w:link w:val="Heading1Char"/>
    <w:uiPriority w:val="1"/>
    <w:qFormat/>
    <w:rsid w:val="007F7376"/>
    <w:pPr>
      <w:spacing w:after="320" w:line="240" w:lineRule="auto"/>
      <w:outlineLvl w:val="0"/>
    </w:pPr>
    <w:rPr>
      <w:rFonts w:ascii="Century Gothic" w:hAnsi="Century Gothic" w:cs="Arial"/>
      <w:b/>
      <w:iCs/>
      <w:color w:val="12273F" w:themeColor="text2"/>
      <w:sz w:val="32"/>
      <w:szCs w:val="28"/>
      <w:lang w:eastAsia="en-US"/>
    </w:rPr>
  </w:style>
  <w:style w:type="paragraph" w:styleId="Heading2">
    <w:name w:val="heading 2"/>
    <w:aliases w:val="BoE Heading 2"/>
    <w:basedOn w:val="Normal"/>
    <w:next w:val="Normal"/>
    <w:link w:val="Heading2Char"/>
    <w:uiPriority w:val="2"/>
    <w:qFormat/>
    <w:rsid w:val="007F7376"/>
    <w:pPr>
      <w:spacing w:after="120" w:line="240" w:lineRule="auto"/>
      <w:outlineLvl w:val="1"/>
    </w:pPr>
    <w:rPr>
      <w:rFonts w:ascii="Century Gothic" w:hAnsi="Century Gothic" w:cs="Arial"/>
      <w:b/>
      <w:iCs/>
      <w:color w:val="12273F" w:themeColor="text2"/>
      <w:sz w:val="28"/>
      <w:szCs w:val="28"/>
      <w:lang w:eastAsia="en-US"/>
    </w:rPr>
  </w:style>
  <w:style w:type="paragraph" w:styleId="Heading3">
    <w:name w:val="heading 3"/>
    <w:aliases w:val="BoE Heading 3"/>
    <w:basedOn w:val="Normal"/>
    <w:next w:val="Normal"/>
    <w:link w:val="Heading3Char"/>
    <w:uiPriority w:val="3"/>
    <w:qFormat/>
    <w:rsid w:val="00925E66"/>
    <w:pPr>
      <w:spacing w:after="120" w:line="240" w:lineRule="auto"/>
      <w:outlineLvl w:val="2"/>
    </w:pPr>
    <w:rPr>
      <w:rFonts w:ascii="Century Gothic" w:hAnsi="Century Gothic" w:cs="Arial"/>
      <w:iCs/>
      <w:color w:val="12273F"/>
      <w:sz w:val="28"/>
      <w:szCs w:val="27"/>
      <w:lang w:eastAsia="en-US"/>
    </w:rPr>
  </w:style>
  <w:style w:type="paragraph" w:styleId="Heading4">
    <w:name w:val="heading 4"/>
    <w:aliases w:val="BoE Heading 4"/>
    <w:basedOn w:val="Normal"/>
    <w:next w:val="Normal"/>
    <w:link w:val="Heading4Char"/>
    <w:uiPriority w:val="4"/>
    <w:qFormat/>
    <w:rsid w:val="00F63BF3"/>
    <w:pPr>
      <w:outlineLvl w:val="3"/>
    </w:pPr>
    <w:rPr>
      <w:rFonts w:ascii="Century Gothic" w:hAnsi="Century Gothic"/>
      <w:b/>
      <w:color w:val="12273F" w:themeColor="tex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customStyle="1" w:styleId="Embargo-template">
    <w:name w:val="Embargo - template"/>
    <w:basedOn w:val="Normal"/>
    <w:uiPriority w:val="12"/>
    <w:semiHidden/>
    <w:qFormat/>
    <w:rsid w:val="00766334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 w:val="32"/>
      <w:szCs w:val="20"/>
      <w:u w:val="single"/>
    </w:rPr>
  </w:style>
  <w:style w:type="paragraph" w:customStyle="1" w:styleId="BoECatchline">
    <w:name w:val="BoE Catchline"/>
    <w:basedOn w:val="Header"/>
    <w:uiPriority w:val="24"/>
    <w:semiHidden/>
    <w:qFormat/>
    <w:rsid w:val="00766334"/>
    <w:pPr>
      <w:pBdr>
        <w:bottom w:val="single" w:sz="8" w:space="6" w:color="12273F"/>
      </w:pBdr>
      <w:tabs>
        <w:tab w:val="clear" w:pos="4513"/>
        <w:tab w:val="clear" w:pos="9026"/>
        <w:tab w:val="left" w:pos="3799"/>
        <w:tab w:val="right" w:pos="9922"/>
      </w:tabs>
    </w:pPr>
    <w:rPr>
      <w:rFonts w:cs="Calibri"/>
      <w:b/>
      <w:color w:val="12273F"/>
      <w:sz w:val="23"/>
      <w:szCs w:val="23"/>
    </w:rPr>
  </w:style>
  <w:style w:type="character" w:customStyle="1" w:styleId="Heading1Char">
    <w:name w:val="Heading 1 Char"/>
    <w:aliases w:val="BoE Heading 1 Char"/>
    <w:basedOn w:val="DefaultParagraphFont"/>
    <w:link w:val="Heading1"/>
    <w:uiPriority w:val="1"/>
    <w:rsid w:val="007F7376"/>
    <w:rPr>
      <w:rFonts w:ascii="Century Gothic" w:eastAsia="Times New Roman" w:hAnsi="Century Gothic" w:cs="Arial"/>
      <w:b/>
      <w:iCs/>
      <w:color w:val="12273F" w:themeColor="text2"/>
      <w:sz w:val="32"/>
      <w:szCs w:val="28"/>
    </w:rPr>
  </w:style>
  <w:style w:type="character" w:customStyle="1" w:styleId="Heading2Char">
    <w:name w:val="Heading 2 Char"/>
    <w:aliases w:val="BoE Heading 2 Char"/>
    <w:basedOn w:val="DefaultParagraphFont"/>
    <w:link w:val="Heading2"/>
    <w:uiPriority w:val="2"/>
    <w:rsid w:val="007F7376"/>
    <w:rPr>
      <w:rFonts w:ascii="Century Gothic" w:eastAsia="Times New Roman" w:hAnsi="Century Gothic" w:cs="Arial"/>
      <w:b/>
      <w:iCs/>
      <w:color w:val="12273F" w:themeColor="text2"/>
      <w:sz w:val="28"/>
      <w:szCs w:val="28"/>
    </w:rPr>
  </w:style>
  <w:style w:type="character" w:styleId="Hyperlink">
    <w:name w:val="Hyperlink"/>
    <w:basedOn w:val="DefaultParagraphFont"/>
    <w:uiPriority w:val="99"/>
    <w:rsid w:val="007F7376"/>
    <w:rPr>
      <w:b/>
      <w:color w:val="12273F" w:themeColor="text2"/>
      <w:u w:val="single" w:color="3CD7D8"/>
    </w:rPr>
  </w:style>
  <w:style w:type="paragraph" w:customStyle="1" w:styleId="WebChartTableImageTitle">
    <w:name w:val="Web Chart/Table/Image Title"/>
    <w:basedOn w:val="Normal"/>
    <w:uiPriority w:val="6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after="0"/>
      <w:ind w:left="45" w:right="40" w:firstLine="329"/>
    </w:pPr>
    <w:rPr>
      <w:rFonts w:cs="Arial"/>
      <w:b/>
      <w:bCs/>
      <w:color w:val="FFFFFF"/>
      <w:szCs w:val="24"/>
    </w:rPr>
  </w:style>
  <w:style w:type="paragraph" w:customStyle="1" w:styleId="WebChartTableImageSubtitle">
    <w:name w:val="Web Chart/Table/Image Subtitle"/>
    <w:basedOn w:val="WebChartTableImageTitle"/>
    <w:uiPriority w:val="7"/>
    <w:semiHidden/>
    <w:qFormat/>
    <w:rsid w:val="00766334"/>
    <w:rPr>
      <w:b w:val="0"/>
      <w:bCs w:val="0"/>
    </w:rPr>
  </w:style>
  <w:style w:type="paragraph" w:customStyle="1" w:styleId="WebImage">
    <w:name w:val="Web Image"/>
    <w:basedOn w:val="Normal"/>
    <w:uiPriority w:val="8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before="360" w:after="240"/>
      <w:ind w:left="45" w:right="40" w:firstLine="329"/>
    </w:pPr>
    <w:rPr>
      <w:rFonts w:eastAsia="Calibri" w:cs="Arial"/>
      <w:sz w:val="20"/>
    </w:rPr>
  </w:style>
  <w:style w:type="paragraph" w:customStyle="1" w:styleId="WebChartTableImageNote">
    <w:name w:val="Web Chart/Table/Image Note"/>
    <w:basedOn w:val="Normal"/>
    <w:uiPriority w:val="9"/>
    <w:semiHidden/>
    <w:qFormat/>
    <w:rsid w:val="00766334"/>
    <w:pPr>
      <w:spacing w:after="240"/>
    </w:pPr>
    <w:rPr>
      <w:rFonts w:eastAsia="Calibri" w:cs="Calibri"/>
      <w:sz w:val="20"/>
    </w:rPr>
  </w:style>
  <w:style w:type="paragraph" w:customStyle="1" w:styleId="BoEHeroParagraph">
    <w:name w:val="BoE Hero Paragraph"/>
    <w:uiPriority w:val="11"/>
    <w:semiHidden/>
    <w:qFormat/>
    <w:rsid w:val="00766334"/>
    <w:pPr>
      <w:pBdr>
        <w:top w:val="single" w:sz="24" w:space="1" w:color="D9D9D9" w:themeColor="background1" w:themeShade="D9"/>
        <w:bottom w:val="single" w:sz="24" w:space="1" w:color="D9D9D9" w:themeColor="background1" w:themeShade="D9"/>
      </w:pBdr>
      <w:shd w:val="clear" w:color="auto" w:fill="D9D9D9" w:themeFill="background1" w:themeFillShade="D9"/>
      <w:spacing w:before="360" w:after="240" w:line="300" w:lineRule="auto"/>
      <w:ind w:left="284" w:hanging="284"/>
    </w:pPr>
    <w:rPr>
      <w:rFonts w:ascii="Arial" w:hAnsi="Arial" w:cs="Calibri"/>
      <w:sz w:val="24"/>
    </w:rPr>
  </w:style>
  <w:style w:type="paragraph" w:styleId="ListParagraph">
    <w:name w:val="List Paragraph"/>
    <w:basedOn w:val="Normal"/>
    <w:uiPriority w:val="34"/>
    <w:qFormat/>
    <w:rsid w:val="00766334"/>
    <w:pPr>
      <w:ind w:left="720"/>
      <w:contextualSpacing/>
    </w:pPr>
    <w:rPr>
      <w:rFonts w:eastAsiaTheme="minorEastAsia"/>
    </w:rPr>
  </w:style>
  <w:style w:type="table" w:customStyle="1" w:styleId="PRATableStyle">
    <w:name w:val="PRA Table Style"/>
    <w:basedOn w:val="TableNormal"/>
    <w:uiPriority w:val="99"/>
    <w:rsid w:val="00887148"/>
    <w:pPr>
      <w:spacing w:after="0" w:line="240" w:lineRule="auto"/>
    </w:pPr>
    <w:rPr>
      <w:rFonts w:ascii="Arial" w:eastAsia="Calibri" w:hAnsi="Arial"/>
      <w:sz w:val="24"/>
    </w:rPr>
    <w:tblPr>
      <w:tblBorders>
        <w:insideH w:val="single" w:sz="4" w:space="0" w:color="BFBFBF"/>
      </w:tblBorders>
      <w:tblCellMar>
        <w:left w:w="227" w:type="dxa"/>
      </w:tblCellMar>
    </w:tblPr>
    <w:tcPr>
      <w:shd w:val="clear" w:color="auto" w:fill="F8F8F8"/>
      <w:tcMar>
        <w:top w:w="113" w:type="dxa"/>
        <w:left w:w="113" w:type="dxa"/>
        <w:right w:w="113" w:type="dxa"/>
      </w:tcMar>
    </w:tcPr>
    <w:tblStylePr w:type="firstRow">
      <w:tblPr/>
      <w:trPr>
        <w:tblHeader/>
      </w:trPr>
      <w:tcPr>
        <w:tcBorders>
          <w:top w:val="single" w:sz="4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2273F"/>
      </w:tcPr>
    </w:tblStylePr>
    <w:tblStylePr w:type="firstCol">
      <w:pPr>
        <w:wordWrap/>
        <w:ind w:leftChars="0" w:left="0"/>
      </w:pPr>
    </w:tblStylePr>
  </w:style>
  <w:style w:type="character" w:customStyle="1" w:styleId="Heading3Char">
    <w:name w:val="Heading 3 Char"/>
    <w:aliases w:val="BoE Heading 3 Char"/>
    <w:basedOn w:val="DefaultParagraphFont"/>
    <w:link w:val="Heading3"/>
    <w:uiPriority w:val="3"/>
    <w:rsid w:val="00925E66"/>
    <w:rPr>
      <w:rFonts w:ascii="Century Gothic" w:eastAsia="Times New Roman" w:hAnsi="Century Gothic" w:cs="Arial"/>
      <w:iCs/>
      <w:color w:val="12273F"/>
      <w:sz w:val="28"/>
      <w:szCs w:val="27"/>
    </w:rPr>
  </w:style>
  <w:style w:type="character" w:customStyle="1" w:styleId="Heading4Char">
    <w:name w:val="Heading 4 Char"/>
    <w:aliases w:val="BoE Heading 4 Char"/>
    <w:basedOn w:val="DefaultParagraphFont"/>
    <w:link w:val="Heading4"/>
    <w:uiPriority w:val="4"/>
    <w:rsid w:val="00F63BF3"/>
    <w:rPr>
      <w:rFonts w:ascii="Century Gothic" w:eastAsia="Times New Roman" w:hAnsi="Century Gothic" w:cs="Times New Roman"/>
      <w:b/>
      <w:color w:val="12273F" w:themeColor="text2"/>
      <w:sz w:val="24"/>
      <w:szCs w:val="20"/>
      <w:lang w:eastAsia="en-GB"/>
    </w:rPr>
  </w:style>
  <w:style w:type="paragraph" w:customStyle="1" w:styleId="QuoteNarrativeHighlight">
    <w:name w:val="Quote/Narrative Highlight"/>
    <w:basedOn w:val="Normal"/>
    <w:uiPriority w:val="5"/>
    <w:qFormat/>
    <w:rsid w:val="00D93826"/>
    <w:pPr>
      <w:pBdr>
        <w:left w:val="single" w:sz="12" w:space="4" w:color="3CD7D9"/>
      </w:pBdr>
      <w:tabs>
        <w:tab w:val="center" w:pos="4513"/>
        <w:tab w:val="right" w:pos="9026"/>
      </w:tabs>
      <w:spacing w:after="0"/>
      <w:ind w:left="113"/>
    </w:pPr>
    <w:rPr>
      <w:rFonts w:eastAsia="Calibri" w:cs="Calibri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00E1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6E479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7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E479E"/>
    <w:rPr>
      <w:vertAlign w:val="superscript"/>
    </w:rPr>
  </w:style>
  <w:style w:type="table" w:styleId="TableGrid">
    <w:name w:val="Table Grid"/>
    <w:basedOn w:val="TableNormal"/>
    <w:uiPriority w:val="59"/>
    <w:rsid w:val="0088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ondPageEmbargoHeader">
    <w:name w:val="Second Page Embargo Header"/>
    <w:basedOn w:val="Normal"/>
    <w:next w:val="Normal"/>
    <w:link w:val="SecondPageEmbargoHeaderChar"/>
    <w:uiPriority w:val="11"/>
    <w:semiHidden/>
    <w:qFormat/>
    <w:rsid w:val="00046ABC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Cs w:val="24"/>
      <w:u w:val="single"/>
    </w:rPr>
  </w:style>
  <w:style w:type="character" w:customStyle="1" w:styleId="SecondPageEmbargoHeaderChar">
    <w:name w:val="Second Page Embargo Header Char"/>
    <w:basedOn w:val="DefaultParagraphFont"/>
    <w:link w:val="SecondPageEmbargoHeader"/>
    <w:uiPriority w:val="11"/>
    <w:semiHidden/>
    <w:rsid w:val="00D80C6B"/>
    <w:rPr>
      <w:rFonts w:ascii="Arial" w:eastAsia="Times New Roman" w:hAnsi="Arial" w:cs="Times New Roman"/>
      <w:b/>
      <w:color w:val="FFFFFF" w:themeColor="background1"/>
      <w:sz w:val="24"/>
      <w:szCs w:val="24"/>
      <w:u w:val="single"/>
      <w:shd w:val="clear" w:color="auto" w:fill="FE015B"/>
      <w:lang w:eastAsia="en-GB"/>
    </w:rPr>
  </w:style>
  <w:style w:type="paragraph" w:styleId="Title">
    <w:name w:val="Title"/>
    <w:basedOn w:val="Heading1"/>
    <w:next w:val="Normal"/>
    <w:link w:val="TitleChar"/>
    <w:semiHidden/>
    <w:qFormat/>
    <w:rsid w:val="00377CC4"/>
    <w:pPr>
      <w:spacing w:after="0"/>
      <w:outlineLvl w:val="9"/>
    </w:pPr>
    <w:rPr>
      <w:sz w:val="72"/>
      <w:szCs w:val="32"/>
    </w:rPr>
  </w:style>
  <w:style w:type="character" w:customStyle="1" w:styleId="TitleChar">
    <w:name w:val="Title Char"/>
    <w:basedOn w:val="DefaultParagraphFont"/>
    <w:link w:val="Title"/>
    <w:semiHidden/>
    <w:rsid w:val="00377CC4"/>
    <w:rPr>
      <w:rFonts w:ascii="Century Gothic" w:eastAsia="Times New Roman" w:hAnsi="Century Gothic" w:cs="Arial"/>
      <w:noProof/>
      <w:color w:val="12273F"/>
      <w:kern w:val="28"/>
      <w:sz w:val="7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7F7376"/>
    <w:rPr>
      <w:b/>
      <w:color w:val="12273F" w:themeColor="text2"/>
      <w:u w:val="single" w:color="3CD7D9" w:themeColor="accent1"/>
    </w:rPr>
  </w:style>
  <w:style w:type="paragraph" w:customStyle="1" w:styleId="Footnote">
    <w:name w:val="Footnote"/>
    <w:basedOn w:val="Normal"/>
    <w:qFormat/>
    <w:rsid w:val="00944346"/>
    <w:pPr>
      <w:spacing w:after="0" w:line="276" w:lineRule="auto"/>
    </w:pPr>
    <w:rPr>
      <w:color w:val="0D0D0D" w:themeColor="text1" w:themeTint="F2"/>
      <w:sz w:val="20"/>
      <w:szCs w:val="20"/>
    </w:rPr>
  </w:style>
  <w:style w:type="paragraph" w:customStyle="1" w:styleId="Normal-Bold">
    <w:name w:val="Normal - Bold"/>
    <w:basedOn w:val="Normal"/>
    <w:next w:val="Normal"/>
    <w:qFormat/>
    <w:rsid w:val="00F00FCA"/>
    <w:rPr>
      <w:rFonts w:eastAsiaTheme="minorEastAsia" w:cstheme="minorBidi"/>
      <w:b/>
      <w:color w:val="0D0D0D" w:themeColor="text1" w:themeTint="F2"/>
      <w:szCs w:val="20"/>
    </w:rPr>
  </w:style>
  <w:style w:type="paragraph" w:customStyle="1" w:styleId="Address">
    <w:name w:val="Address"/>
    <w:uiPriority w:val="21"/>
    <w:qFormat/>
    <w:rsid w:val="007F7376"/>
    <w:pPr>
      <w:spacing w:after="0" w:line="240" w:lineRule="auto"/>
      <w:ind w:right="3061"/>
    </w:pPr>
    <w:rPr>
      <w:rFonts w:ascii="Century Gothic" w:eastAsia="Times New Roman" w:hAnsi="Century Gothic" w:cs="Times New Roman"/>
      <w:b/>
      <w:color w:val="12273F" w:themeColor="text2"/>
      <w:sz w:val="20"/>
      <w:szCs w:val="20"/>
      <w:lang w:eastAsia="en-GB"/>
    </w:rPr>
  </w:style>
  <w:style w:type="character" w:customStyle="1" w:styleId="ui-provider">
    <w:name w:val="ui-provider"/>
    <w:basedOn w:val="DefaultParagraphFont"/>
    <w:rsid w:val="00321CD3"/>
  </w:style>
  <w:style w:type="character" w:styleId="CommentReference">
    <w:name w:val="annotation reference"/>
    <w:basedOn w:val="DefaultParagraphFont"/>
    <w:uiPriority w:val="99"/>
    <w:semiHidden/>
    <w:rsid w:val="00627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7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86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86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B7F7D"/>
    <w:pPr>
      <w:spacing w:after="0" w:line="240" w:lineRule="auto"/>
    </w:pPr>
    <w:rPr>
      <w:rFonts w:ascii="Arial" w:eastAsia="Times New Roman" w:hAnsi="Arial" w:cs="Times New Roman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ubmissions@bankofengland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ubmissions@bankofengland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-waivers@bankofengland.co.u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nkofengland.co.uk/prudential-regulation/authorisations/solvency-ii-approvals" TargetMode="External"/><Relationship Id="rId2" Type="http://schemas.openxmlformats.org/officeDocument/2006/relationships/hyperlink" Target="https://www.bankofengland.co.uk/prudential-regulation/authorisations/solvency-ii-approvals" TargetMode="External"/><Relationship Id="rId1" Type="http://schemas.openxmlformats.org/officeDocument/2006/relationships/hyperlink" Target="https://www.bankofengland.co.uk/prudential-regulation/publication/2024/june/solvency-ii-matching-adjustment-permissions-statement-of-policy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3066\Downloads\PRA%20A4%20Page%20with%20Logo%20(2).dotx" TargetMode="External"/></Relationships>
</file>

<file path=word/theme/theme1.xml><?xml version="1.0" encoding="utf-8"?>
<a:theme xmlns:a="http://schemas.openxmlformats.org/drawingml/2006/main" name="Office Theme">
  <a:themeElements>
    <a:clrScheme name="Custom 63">
      <a:dk1>
        <a:srgbClr val="000000"/>
      </a:dk1>
      <a:lt1>
        <a:srgbClr val="FFFFFF"/>
      </a:lt1>
      <a:dk2>
        <a:srgbClr val="12273F"/>
      </a:dk2>
      <a:lt2>
        <a:srgbClr val="E7E6E6"/>
      </a:lt2>
      <a:accent1>
        <a:srgbClr val="3CD7D9"/>
      </a:accent1>
      <a:accent2>
        <a:srgbClr val="FF7300"/>
      </a:accent2>
      <a:accent3>
        <a:srgbClr val="9E71FE"/>
      </a:accent3>
      <a:accent4>
        <a:srgbClr val="D4AF37"/>
      </a:accent4>
      <a:accent5>
        <a:srgbClr val="A5D700"/>
      </a:accent5>
      <a:accent6>
        <a:srgbClr val="FF50C8"/>
      </a:accent6>
      <a:hlink>
        <a:srgbClr val="E9496A"/>
      </a:hlink>
      <a:folHlink>
        <a:srgbClr val="FAD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D1BF-D5A2-4502-9C67-092DCB3E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 A4 Page with Logo (2)</Template>
  <TotalTime>16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Ben</dc:creator>
  <cp:keywords/>
  <dc:description/>
  <cp:lastModifiedBy>PRA Communications</cp:lastModifiedBy>
  <cp:revision>6</cp:revision>
  <cp:lastPrinted>2022-04-05T15:08:00Z</cp:lastPrinted>
  <dcterms:created xsi:type="dcterms:W3CDTF">2024-05-30T14:51:00Z</dcterms:created>
  <dcterms:modified xsi:type="dcterms:W3CDTF">2024-06-03T21:30:00Z</dcterms:modified>
  <cp:contentStatus>[Day Month Year]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WatermarkShapeIds">
    <vt:lpwstr>2,3,4</vt:lpwstr>
  </property>
  <property fmtid="{D5CDD505-2E9C-101B-9397-08002B2CF9AE}" pid="3" name="ClassificationWatermarkFontProps">
    <vt:lpwstr>#000000,10,Calibri</vt:lpwstr>
  </property>
  <property fmtid="{D5CDD505-2E9C-101B-9397-08002B2CF9AE}" pid="4" name="ClassificationWatermarkText">
    <vt:lpwstr> Amber Supervision Sensitive </vt:lpwstr>
  </property>
  <property fmtid="{D5CDD505-2E9C-101B-9397-08002B2CF9AE}" pid="5" name="MSIP_Label_14439d5b-62da-4a37-96af-adc259613a6f_Enabled">
    <vt:lpwstr>true</vt:lpwstr>
  </property>
  <property fmtid="{D5CDD505-2E9C-101B-9397-08002B2CF9AE}" pid="6" name="MSIP_Label_14439d5b-62da-4a37-96af-adc259613a6f_SetDate">
    <vt:lpwstr>2024-05-10T14:04:51Z</vt:lpwstr>
  </property>
  <property fmtid="{D5CDD505-2E9C-101B-9397-08002B2CF9AE}" pid="7" name="MSIP_Label_14439d5b-62da-4a37-96af-adc259613a6f_Method">
    <vt:lpwstr>Privileged</vt:lpwstr>
  </property>
  <property fmtid="{D5CDD505-2E9C-101B-9397-08002B2CF9AE}" pid="8" name="MSIP_Label_14439d5b-62da-4a37-96af-adc259613a6f_Name">
    <vt:lpwstr>Amber_Supervision</vt:lpwstr>
  </property>
  <property fmtid="{D5CDD505-2E9C-101B-9397-08002B2CF9AE}" pid="9" name="MSIP_Label_14439d5b-62da-4a37-96af-adc259613a6f_SiteId">
    <vt:lpwstr>4b845bdd-4872-4d8c-8b5e-077db08774cc</vt:lpwstr>
  </property>
  <property fmtid="{D5CDD505-2E9C-101B-9397-08002B2CF9AE}" pid="10" name="MSIP_Label_14439d5b-62da-4a37-96af-adc259613a6f_ActionId">
    <vt:lpwstr>795feff7-a832-494c-8349-70d93519c1f5</vt:lpwstr>
  </property>
  <property fmtid="{D5CDD505-2E9C-101B-9397-08002B2CF9AE}" pid="11" name="MSIP_Label_14439d5b-62da-4a37-96af-adc259613a6f_ContentBits">
    <vt:lpwstr>5</vt:lpwstr>
  </property>
  <property fmtid="{D5CDD505-2E9C-101B-9397-08002B2CF9AE}" pid="12" name="_AdHocReviewCycleID">
    <vt:i4>-631260160</vt:i4>
  </property>
  <property fmtid="{D5CDD505-2E9C-101B-9397-08002B2CF9AE}" pid="13" name="_NewReviewCycle">
    <vt:lpwstr/>
  </property>
  <property fmtid="{D5CDD505-2E9C-101B-9397-08002B2CF9AE}" pid="14" name="_EmailSubject">
    <vt:lpwstr>To publish: Solvency II approvals web update at 7am on Thursday 6 June 2024 </vt:lpwstr>
  </property>
  <property fmtid="{D5CDD505-2E9C-101B-9397-08002B2CF9AE}" pid="15" name="_AuthorEmail">
    <vt:lpwstr>Kamila.Botha@bankofengland.co.uk</vt:lpwstr>
  </property>
  <property fmtid="{D5CDD505-2E9C-101B-9397-08002B2CF9AE}" pid="16" name="_AuthorEmailDisplayName">
    <vt:lpwstr>Botha, Kamila</vt:lpwstr>
  </property>
  <property fmtid="{D5CDD505-2E9C-101B-9397-08002B2CF9AE}" pid="17" name="_PreviousAdHocReviewCycleID">
    <vt:i4>-1798415440</vt:i4>
  </property>
</Properties>
</file>