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7D2CB" w14:textId="77777777" w:rsidR="00D65263" w:rsidRDefault="00D65263" w:rsidP="008B44DE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4A0D2716" wp14:editId="75A15CD2">
            <wp:extent cx="2430145" cy="468000"/>
            <wp:effectExtent l="19050" t="0" r="8255" b="0"/>
            <wp:docPr id="11" name="Picture 0" descr="BoE_PRA_logo_A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E_PRA_logo_A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145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DD581" w14:textId="6039E735" w:rsidR="008B44DE" w:rsidRPr="00271523" w:rsidRDefault="00546248" w:rsidP="008B44DE">
      <w:pPr>
        <w:rPr>
          <w:b/>
          <w:sz w:val="24"/>
          <w:szCs w:val="24"/>
        </w:rPr>
      </w:pPr>
      <w:r w:rsidRPr="00271523">
        <w:rPr>
          <w:b/>
          <w:sz w:val="24"/>
          <w:szCs w:val="24"/>
        </w:rPr>
        <w:t xml:space="preserve">Supplementary information </w:t>
      </w:r>
      <w:r w:rsidR="00756590" w:rsidRPr="00271523">
        <w:rPr>
          <w:b/>
          <w:sz w:val="24"/>
          <w:szCs w:val="24"/>
        </w:rPr>
        <w:t xml:space="preserve">form for </w:t>
      </w:r>
      <w:r w:rsidR="004A0127" w:rsidRPr="00271523">
        <w:rPr>
          <w:b/>
          <w:sz w:val="24"/>
          <w:szCs w:val="24"/>
        </w:rPr>
        <w:t>p</w:t>
      </w:r>
      <w:r w:rsidR="008B44DE" w:rsidRPr="00271523">
        <w:rPr>
          <w:b/>
          <w:sz w:val="24"/>
          <w:szCs w:val="24"/>
        </w:rPr>
        <w:t>ermission</w:t>
      </w:r>
      <w:r w:rsidR="004A0127" w:rsidRPr="00271523">
        <w:rPr>
          <w:b/>
          <w:sz w:val="24"/>
          <w:szCs w:val="24"/>
        </w:rPr>
        <w:t xml:space="preserve"> under </w:t>
      </w:r>
      <w:r w:rsidR="008B44DE" w:rsidRPr="00271523">
        <w:rPr>
          <w:b/>
          <w:sz w:val="24"/>
          <w:szCs w:val="24"/>
        </w:rPr>
        <w:t>Article 122(</w:t>
      </w:r>
      <w:r w:rsidR="00B80F1E" w:rsidRPr="00271523">
        <w:rPr>
          <w:b/>
          <w:sz w:val="24"/>
          <w:szCs w:val="24"/>
        </w:rPr>
        <w:t>6</w:t>
      </w:r>
      <w:r w:rsidR="008B44DE" w:rsidRPr="00271523">
        <w:rPr>
          <w:b/>
          <w:sz w:val="24"/>
          <w:szCs w:val="24"/>
        </w:rPr>
        <w:t xml:space="preserve">) </w:t>
      </w:r>
      <w:r w:rsidR="005D30B6" w:rsidRPr="00271523">
        <w:rPr>
          <w:b/>
          <w:sz w:val="24"/>
          <w:szCs w:val="24"/>
        </w:rPr>
        <w:t xml:space="preserve">of the Credit Risk: Standardised </w:t>
      </w:r>
      <w:r w:rsidR="003D428D" w:rsidRPr="00271523">
        <w:rPr>
          <w:b/>
          <w:sz w:val="24"/>
          <w:szCs w:val="24"/>
        </w:rPr>
        <w:t>Approach (CRR) Part of the PRA r</w:t>
      </w:r>
      <w:r w:rsidR="005D30B6" w:rsidRPr="00271523">
        <w:rPr>
          <w:b/>
          <w:sz w:val="24"/>
          <w:szCs w:val="24"/>
        </w:rPr>
        <w:t>ulebook</w:t>
      </w:r>
    </w:p>
    <w:p w14:paraId="6E4D99C6" w14:textId="77777777" w:rsidR="004A0127" w:rsidRPr="00271523" w:rsidRDefault="004A0127" w:rsidP="008B44DE">
      <w:pPr>
        <w:rPr>
          <w:b/>
          <w:sz w:val="24"/>
          <w:szCs w:val="24"/>
        </w:rPr>
      </w:pPr>
    </w:p>
    <w:p w14:paraId="430BAA15" w14:textId="7793D279" w:rsidR="005F0753" w:rsidRPr="00271523" w:rsidRDefault="004A0127" w:rsidP="008B44DE">
      <w:pPr>
        <w:rPr>
          <w:bCs/>
          <w:sz w:val="24"/>
          <w:szCs w:val="24"/>
        </w:rPr>
      </w:pPr>
      <w:r w:rsidRPr="00271523">
        <w:rPr>
          <w:bCs/>
          <w:sz w:val="24"/>
          <w:szCs w:val="24"/>
        </w:rPr>
        <w:t>This</w:t>
      </w:r>
      <w:r w:rsidR="00546248" w:rsidRPr="00271523">
        <w:rPr>
          <w:bCs/>
          <w:sz w:val="24"/>
          <w:szCs w:val="24"/>
        </w:rPr>
        <w:t xml:space="preserve"> supplementary</w:t>
      </w:r>
      <w:r w:rsidRPr="00271523">
        <w:rPr>
          <w:bCs/>
          <w:sz w:val="24"/>
          <w:szCs w:val="24"/>
        </w:rPr>
        <w:t xml:space="preserve"> form should be completed by firms seeking a permission under Article 122(6) of the Credit Risk: Standardised Approach (CRR) Part to apply</w:t>
      </w:r>
      <w:r w:rsidRPr="00271523">
        <w:rPr>
          <w:iCs/>
          <w:sz w:val="24"/>
          <w:szCs w:val="24"/>
        </w:rPr>
        <w:t xml:space="preserve"> the risk weights in paragraphs (a) to (b) of </w:t>
      </w:r>
      <w:r w:rsidR="00756590" w:rsidRPr="00271523">
        <w:rPr>
          <w:iCs/>
          <w:sz w:val="24"/>
          <w:szCs w:val="24"/>
        </w:rPr>
        <w:t>A</w:t>
      </w:r>
      <w:r w:rsidRPr="00271523">
        <w:rPr>
          <w:iCs/>
          <w:sz w:val="24"/>
          <w:szCs w:val="24"/>
        </w:rPr>
        <w:t>rticle 122(6)</w:t>
      </w:r>
      <w:r w:rsidR="00756590" w:rsidRPr="00271523">
        <w:rPr>
          <w:iCs/>
          <w:sz w:val="24"/>
          <w:szCs w:val="24"/>
        </w:rPr>
        <w:t xml:space="preserve"> of the Credit Risk: Standardised Approach (CRR) Part</w:t>
      </w:r>
      <w:r w:rsidRPr="00271523">
        <w:rPr>
          <w:iCs/>
          <w:sz w:val="24"/>
          <w:szCs w:val="24"/>
        </w:rPr>
        <w:t xml:space="preserve"> to exposures for which a credit assessment by a nominated ECAI is not available</w:t>
      </w:r>
      <w:r w:rsidR="001E58D8" w:rsidRPr="00271523">
        <w:rPr>
          <w:iCs/>
          <w:sz w:val="24"/>
          <w:szCs w:val="24"/>
        </w:rPr>
        <w:t xml:space="preserve"> (“unrated corporate exposures”)</w:t>
      </w:r>
      <w:r w:rsidRPr="00271523">
        <w:rPr>
          <w:bCs/>
          <w:sz w:val="24"/>
          <w:szCs w:val="24"/>
        </w:rPr>
        <w:t>.</w:t>
      </w:r>
    </w:p>
    <w:p w14:paraId="6AED1EC4" w14:textId="77777777" w:rsidR="00756590" w:rsidRPr="00271523" w:rsidRDefault="00756590" w:rsidP="008B44DE">
      <w:pPr>
        <w:rPr>
          <w:iCs/>
          <w:sz w:val="24"/>
          <w:szCs w:val="24"/>
        </w:rPr>
      </w:pPr>
    </w:p>
    <w:p w14:paraId="14290FC7" w14:textId="6004A670" w:rsidR="005F0753" w:rsidRPr="00271523" w:rsidRDefault="004A0127" w:rsidP="008B44DE">
      <w:pPr>
        <w:rPr>
          <w:sz w:val="24"/>
          <w:szCs w:val="24"/>
        </w:rPr>
      </w:pPr>
      <w:r w:rsidRPr="00271523">
        <w:rPr>
          <w:iCs/>
          <w:sz w:val="24"/>
          <w:szCs w:val="24"/>
        </w:rPr>
        <w:t xml:space="preserve">In accordance with </w:t>
      </w:r>
      <w:bookmarkStart w:id="0" w:name="_Hlk171417957"/>
      <w:r w:rsidRPr="00271523">
        <w:rPr>
          <w:bCs/>
          <w:sz w:val="24"/>
          <w:szCs w:val="24"/>
        </w:rPr>
        <w:t>Article 122(6) of the Credit Risk: Standardised Approach (CRR) Part</w:t>
      </w:r>
      <w:bookmarkEnd w:id="0"/>
      <w:r w:rsidRPr="00271523">
        <w:rPr>
          <w:iCs/>
          <w:sz w:val="24"/>
          <w:szCs w:val="24"/>
        </w:rPr>
        <w:t xml:space="preserve">, </w:t>
      </w:r>
      <w:r w:rsidRPr="00271523">
        <w:rPr>
          <w:sz w:val="24"/>
          <w:szCs w:val="24"/>
        </w:rPr>
        <w:t xml:space="preserve">a firm applying for a </w:t>
      </w:r>
      <w:r w:rsidR="005F0753" w:rsidRPr="00271523">
        <w:rPr>
          <w:iCs/>
          <w:sz w:val="24"/>
          <w:szCs w:val="24"/>
        </w:rPr>
        <w:t>permission</w:t>
      </w:r>
      <w:r w:rsidRPr="00271523">
        <w:rPr>
          <w:iCs/>
          <w:sz w:val="24"/>
          <w:szCs w:val="24"/>
        </w:rPr>
        <w:t xml:space="preserve"> under </w:t>
      </w:r>
      <w:r w:rsidRPr="00271523">
        <w:rPr>
          <w:bCs/>
          <w:sz w:val="24"/>
          <w:szCs w:val="24"/>
        </w:rPr>
        <w:t>Article 122(6) of the Credit Risk: Standardised Approach (CRR) Part</w:t>
      </w:r>
      <w:r w:rsidR="005F0753" w:rsidRPr="00271523">
        <w:rPr>
          <w:iCs/>
          <w:sz w:val="24"/>
          <w:szCs w:val="24"/>
        </w:rPr>
        <w:t xml:space="preserve"> shall demonstrate to the satisfaction of the PRA that it has sound, effective and comprehensive strategies, processes, </w:t>
      </w:r>
      <w:proofErr w:type="gramStart"/>
      <w:r w:rsidR="005F0753" w:rsidRPr="00271523">
        <w:rPr>
          <w:iCs/>
          <w:sz w:val="24"/>
          <w:szCs w:val="24"/>
        </w:rPr>
        <w:t>systems</w:t>
      </w:r>
      <w:proofErr w:type="gramEnd"/>
      <w:r w:rsidR="005F0753" w:rsidRPr="00271523">
        <w:rPr>
          <w:iCs/>
          <w:sz w:val="24"/>
          <w:szCs w:val="24"/>
        </w:rPr>
        <w:t xml:space="preserve"> and risk management practices that enable it to adequately identify and manage its sources of credit and counterparty risk.</w:t>
      </w:r>
      <w:r w:rsidRPr="00271523">
        <w:rPr>
          <w:iCs/>
          <w:sz w:val="24"/>
          <w:szCs w:val="24"/>
        </w:rPr>
        <w:t xml:space="preserve"> </w:t>
      </w:r>
      <w:r w:rsidRPr="00271523">
        <w:rPr>
          <w:sz w:val="24"/>
          <w:szCs w:val="24"/>
        </w:rPr>
        <w:t xml:space="preserve">PRA Supervisory Statement SS10/13 “Credit Risk: Standardised Approach”, </w:t>
      </w:r>
      <w:r w:rsidR="00546248" w:rsidRPr="00271523">
        <w:rPr>
          <w:sz w:val="24"/>
          <w:szCs w:val="24"/>
        </w:rPr>
        <w:t>Chapter</w:t>
      </w:r>
      <w:r w:rsidRPr="00271523">
        <w:rPr>
          <w:sz w:val="24"/>
          <w:szCs w:val="24"/>
        </w:rPr>
        <w:t xml:space="preserve"> 3A “Exposures to unrated corporates”, sets out the factors the PRA will </w:t>
      </w:r>
      <w:proofErr w:type="gramStart"/>
      <w:r w:rsidRPr="00271523">
        <w:rPr>
          <w:sz w:val="24"/>
          <w:szCs w:val="24"/>
        </w:rPr>
        <w:t>take into account</w:t>
      </w:r>
      <w:proofErr w:type="gramEnd"/>
      <w:r w:rsidRPr="00271523">
        <w:rPr>
          <w:sz w:val="24"/>
          <w:szCs w:val="24"/>
        </w:rPr>
        <w:t xml:space="preserve"> </w:t>
      </w:r>
      <w:r w:rsidR="001E58D8" w:rsidRPr="00271523">
        <w:rPr>
          <w:sz w:val="24"/>
          <w:szCs w:val="24"/>
        </w:rPr>
        <w:t>when</w:t>
      </w:r>
      <w:r w:rsidRPr="00271523">
        <w:rPr>
          <w:sz w:val="24"/>
          <w:szCs w:val="24"/>
        </w:rPr>
        <w:t xml:space="preserve"> determining whether to grant a permission. </w:t>
      </w:r>
    </w:p>
    <w:p w14:paraId="70AA7094" w14:textId="77777777" w:rsidR="00756590" w:rsidRPr="00271523" w:rsidRDefault="00756590" w:rsidP="008B44DE">
      <w:pPr>
        <w:rPr>
          <w:sz w:val="24"/>
          <w:szCs w:val="24"/>
        </w:rPr>
      </w:pPr>
    </w:p>
    <w:p w14:paraId="4125B685" w14:textId="06EF2229" w:rsidR="001204EA" w:rsidRPr="00271523" w:rsidRDefault="00756590" w:rsidP="00756590">
      <w:pPr>
        <w:rPr>
          <w:sz w:val="24"/>
          <w:szCs w:val="24"/>
        </w:rPr>
      </w:pPr>
      <w:r w:rsidRPr="00271523">
        <w:rPr>
          <w:sz w:val="24"/>
          <w:szCs w:val="24"/>
        </w:rPr>
        <w:t xml:space="preserve">To make an application under Article 122(6) of the Credit Risk: Standardised Approach (CRR) Part, firms </w:t>
      </w:r>
      <w:r w:rsidR="00546248" w:rsidRPr="00271523">
        <w:rPr>
          <w:sz w:val="24"/>
          <w:szCs w:val="24"/>
        </w:rPr>
        <w:t xml:space="preserve">should complete the permissions (CRR firms) general application form and </w:t>
      </w:r>
      <w:r w:rsidR="004A0127" w:rsidRPr="00271523">
        <w:rPr>
          <w:sz w:val="24"/>
          <w:szCs w:val="24"/>
        </w:rPr>
        <w:t xml:space="preserve">provide the information set out in the table below </w:t>
      </w:r>
      <w:proofErr w:type="gramStart"/>
      <w:r w:rsidR="00546248" w:rsidRPr="00271523">
        <w:rPr>
          <w:sz w:val="24"/>
          <w:szCs w:val="24"/>
        </w:rPr>
        <w:t xml:space="preserve">in order </w:t>
      </w:r>
      <w:r w:rsidR="004A0127" w:rsidRPr="00271523">
        <w:rPr>
          <w:sz w:val="24"/>
          <w:szCs w:val="24"/>
        </w:rPr>
        <w:t>to</w:t>
      </w:r>
      <w:proofErr w:type="gramEnd"/>
      <w:r w:rsidR="004A0127" w:rsidRPr="00271523">
        <w:rPr>
          <w:sz w:val="24"/>
          <w:szCs w:val="24"/>
        </w:rPr>
        <w:t xml:space="preserve"> enable the PRA to assess whether the firm has met the requirements of </w:t>
      </w:r>
      <w:r w:rsidR="004A0127" w:rsidRPr="00271523">
        <w:rPr>
          <w:bCs/>
          <w:sz w:val="24"/>
          <w:szCs w:val="24"/>
        </w:rPr>
        <w:t>Article 122(6) of the Credit Risk: Standardised Approach (CRR) Part</w:t>
      </w:r>
      <w:r w:rsidR="004C0285" w:rsidRPr="00271523">
        <w:rPr>
          <w:sz w:val="24"/>
          <w:szCs w:val="24"/>
        </w:rPr>
        <w:t>.</w:t>
      </w:r>
      <w:r w:rsidR="004A0127" w:rsidRPr="00271523">
        <w:rPr>
          <w:sz w:val="24"/>
          <w:szCs w:val="24"/>
        </w:rPr>
        <w:t xml:space="preserve"> </w:t>
      </w:r>
    </w:p>
    <w:p w14:paraId="73AB034F" w14:textId="77777777" w:rsidR="008B44DE" w:rsidRPr="00271523" w:rsidRDefault="008B44DE" w:rsidP="008B44DE">
      <w:pPr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8B44DE" w:rsidRPr="00D759CB" w14:paraId="7F304F95" w14:textId="77777777" w:rsidTr="00AB1E13">
        <w:trPr>
          <w:trHeight w:val="3240"/>
        </w:trPr>
        <w:tc>
          <w:tcPr>
            <w:tcW w:w="5382" w:type="dxa"/>
          </w:tcPr>
          <w:p w14:paraId="02AAF0FA" w14:textId="77777777" w:rsidR="008B44DE" w:rsidRPr="00D759CB" w:rsidRDefault="008B44DE" w:rsidP="00D52B22">
            <w:pPr>
              <w:rPr>
                <w:sz w:val="24"/>
                <w:szCs w:val="24"/>
              </w:rPr>
            </w:pPr>
            <w:r w:rsidRPr="00D759CB">
              <w:rPr>
                <w:sz w:val="24"/>
                <w:szCs w:val="24"/>
              </w:rPr>
              <w:lastRenderedPageBreak/>
              <w:t>PRA EXPECTATIONS</w:t>
            </w:r>
          </w:p>
        </w:tc>
        <w:tc>
          <w:tcPr>
            <w:tcW w:w="3634" w:type="dxa"/>
          </w:tcPr>
          <w:p w14:paraId="72EB6349" w14:textId="77777777" w:rsidR="008B44DE" w:rsidRPr="00D759CB" w:rsidRDefault="008B44DE" w:rsidP="00D52B22">
            <w:pPr>
              <w:rPr>
                <w:sz w:val="24"/>
                <w:szCs w:val="24"/>
              </w:rPr>
            </w:pPr>
            <w:r w:rsidRPr="00D759CB">
              <w:rPr>
                <w:sz w:val="24"/>
                <w:szCs w:val="24"/>
              </w:rPr>
              <w:t>FIRM ANALYSIS</w:t>
            </w:r>
          </w:p>
          <w:p w14:paraId="4B4CD7C4" w14:textId="77777777" w:rsidR="008B44DE" w:rsidRPr="00D759CB" w:rsidRDefault="008B44DE" w:rsidP="00D52B22">
            <w:pPr>
              <w:rPr>
                <w:sz w:val="24"/>
                <w:szCs w:val="24"/>
              </w:rPr>
            </w:pPr>
          </w:p>
          <w:p w14:paraId="6A8DFD3F" w14:textId="2DB7627B" w:rsidR="008B44DE" w:rsidRPr="00D759CB" w:rsidRDefault="008B44DE" w:rsidP="00D52B22">
            <w:pPr>
              <w:rPr>
                <w:sz w:val="24"/>
                <w:szCs w:val="24"/>
              </w:rPr>
            </w:pPr>
            <w:r w:rsidRPr="00D759CB">
              <w:rPr>
                <w:sz w:val="24"/>
                <w:szCs w:val="24"/>
              </w:rPr>
              <w:t xml:space="preserve">Please demonstrate </w:t>
            </w:r>
            <w:r w:rsidR="00222AA6" w:rsidRPr="00D759CB">
              <w:rPr>
                <w:sz w:val="24"/>
                <w:szCs w:val="24"/>
              </w:rPr>
              <w:t>by providing evidence</w:t>
            </w:r>
            <w:r w:rsidRPr="00D759CB">
              <w:rPr>
                <w:sz w:val="24"/>
                <w:szCs w:val="24"/>
              </w:rPr>
              <w:t xml:space="preserve"> how the specific requirements</w:t>
            </w:r>
            <w:r w:rsidR="00756590" w:rsidRPr="00D759CB">
              <w:rPr>
                <w:sz w:val="24"/>
                <w:szCs w:val="24"/>
              </w:rPr>
              <w:t xml:space="preserve"> of Article 122(6) of the Credit Risk: Standardised Approach (CRR) Part</w:t>
            </w:r>
            <w:r w:rsidRPr="00D759CB">
              <w:rPr>
                <w:sz w:val="24"/>
                <w:szCs w:val="24"/>
              </w:rPr>
              <w:t xml:space="preserve"> are met.</w:t>
            </w:r>
          </w:p>
          <w:p w14:paraId="380571DA" w14:textId="77777777" w:rsidR="001204EA" w:rsidRPr="00D759CB" w:rsidRDefault="001204EA" w:rsidP="00D52B22">
            <w:pPr>
              <w:rPr>
                <w:sz w:val="24"/>
                <w:szCs w:val="24"/>
              </w:rPr>
            </w:pPr>
          </w:p>
          <w:p w14:paraId="5DFE4880" w14:textId="493CC64A" w:rsidR="001204EA" w:rsidRPr="00D759CB" w:rsidRDefault="001204EA" w:rsidP="00D52B22">
            <w:pPr>
              <w:rPr>
                <w:sz w:val="24"/>
                <w:szCs w:val="24"/>
              </w:rPr>
            </w:pPr>
            <w:r w:rsidRPr="00D759CB">
              <w:rPr>
                <w:sz w:val="24"/>
                <w:szCs w:val="24"/>
              </w:rPr>
              <w:t>Where additional documents are provided, firms should clearly state the relevant sections and provide a short explanation of how the documents demonstrate the condition</w:t>
            </w:r>
            <w:r w:rsidR="00083AD7" w:rsidRPr="00D759CB">
              <w:rPr>
                <w:sz w:val="24"/>
                <w:szCs w:val="24"/>
              </w:rPr>
              <w:t>s</w:t>
            </w:r>
            <w:r w:rsidRPr="00D759CB">
              <w:rPr>
                <w:sz w:val="24"/>
                <w:szCs w:val="24"/>
              </w:rPr>
              <w:t xml:space="preserve"> </w:t>
            </w:r>
            <w:r w:rsidR="00083AD7" w:rsidRPr="00D759CB">
              <w:rPr>
                <w:sz w:val="24"/>
                <w:szCs w:val="24"/>
              </w:rPr>
              <w:t>are</w:t>
            </w:r>
            <w:r w:rsidRPr="00D759CB">
              <w:rPr>
                <w:sz w:val="24"/>
                <w:szCs w:val="24"/>
              </w:rPr>
              <w:t xml:space="preserve"> met.</w:t>
            </w:r>
          </w:p>
        </w:tc>
      </w:tr>
      <w:tr w:rsidR="008B44DE" w:rsidRPr="00D759CB" w14:paraId="7505CE0E" w14:textId="77777777" w:rsidTr="00AB1E13">
        <w:tc>
          <w:tcPr>
            <w:tcW w:w="5382" w:type="dxa"/>
          </w:tcPr>
          <w:p w14:paraId="28F0D119" w14:textId="55BE19C9" w:rsidR="00E73C2C" w:rsidRPr="00D759CB" w:rsidRDefault="001204EA" w:rsidP="001204EA">
            <w:pPr>
              <w:rPr>
                <w:sz w:val="24"/>
                <w:szCs w:val="24"/>
              </w:rPr>
            </w:pPr>
            <w:r w:rsidRPr="00D759CB">
              <w:rPr>
                <w:sz w:val="24"/>
                <w:szCs w:val="24"/>
              </w:rPr>
              <w:t>(a) d</w:t>
            </w:r>
            <w:r w:rsidR="008B44DE" w:rsidRPr="00D759CB">
              <w:rPr>
                <w:sz w:val="24"/>
                <w:szCs w:val="24"/>
              </w:rPr>
              <w:t>escription of the risk management p</w:t>
            </w:r>
            <w:r w:rsidR="00C2164F" w:rsidRPr="00D759CB">
              <w:rPr>
                <w:sz w:val="24"/>
                <w:szCs w:val="24"/>
              </w:rPr>
              <w:t>rocesses</w:t>
            </w:r>
            <w:r w:rsidR="008B44DE" w:rsidRPr="00D759CB">
              <w:rPr>
                <w:sz w:val="24"/>
                <w:szCs w:val="24"/>
              </w:rPr>
              <w:t>, proce</w:t>
            </w:r>
            <w:r w:rsidR="00C2164F" w:rsidRPr="00D759CB">
              <w:rPr>
                <w:sz w:val="24"/>
                <w:szCs w:val="24"/>
              </w:rPr>
              <w:t>dures</w:t>
            </w:r>
            <w:r w:rsidR="008B44DE" w:rsidRPr="00D759CB">
              <w:rPr>
                <w:sz w:val="24"/>
                <w:szCs w:val="24"/>
              </w:rPr>
              <w:t>, and controls</w:t>
            </w:r>
            <w:r w:rsidR="00C2164F" w:rsidRPr="00D759CB">
              <w:rPr>
                <w:sz w:val="24"/>
                <w:szCs w:val="24"/>
              </w:rPr>
              <w:t xml:space="preserve"> at subsidiary level and consolidated level</w:t>
            </w:r>
            <w:r w:rsidR="008B44DE" w:rsidRPr="00D759CB">
              <w:rPr>
                <w:sz w:val="24"/>
                <w:szCs w:val="24"/>
              </w:rPr>
              <w:t xml:space="preserve"> for exposures to </w:t>
            </w:r>
            <w:proofErr w:type="gramStart"/>
            <w:r w:rsidR="008B44DE" w:rsidRPr="00D759CB">
              <w:rPr>
                <w:sz w:val="24"/>
                <w:szCs w:val="24"/>
              </w:rPr>
              <w:t>corporates</w:t>
            </w:r>
            <w:r w:rsidRPr="00D759CB">
              <w:rPr>
                <w:sz w:val="24"/>
                <w:szCs w:val="24"/>
              </w:rPr>
              <w:t>;</w:t>
            </w:r>
            <w:proofErr w:type="gramEnd"/>
          </w:p>
          <w:p w14:paraId="6C99F284" w14:textId="77777777" w:rsidR="00E73C2C" w:rsidRPr="00D759CB" w:rsidRDefault="00E73C2C" w:rsidP="001204EA">
            <w:pPr>
              <w:rPr>
                <w:sz w:val="24"/>
                <w:szCs w:val="24"/>
              </w:rPr>
            </w:pPr>
          </w:p>
          <w:p w14:paraId="15A5C09D" w14:textId="03D5B8DD" w:rsidR="000A6727" w:rsidRPr="00D759CB" w:rsidRDefault="00E73C2C" w:rsidP="00AB1E13">
            <w:pPr>
              <w:rPr>
                <w:sz w:val="24"/>
                <w:szCs w:val="24"/>
              </w:rPr>
            </w:pPr>
            <w:r w:rsidRPr="00D759CB">
              <w:rPr>
                <w:sz w:val="24"/>
                <w:szCs w:val="24"/>
              </w:rPr>
              <w:t>(</w:t>
            </w:r>
            <w:r w:rsidR="00C559E1" w:rsidRPr="00D759CB">
              <w:rPr>
                <w:sz w:val="24"/>
                <w:szCs w:val="24"/>
              </w:rPr>
              <w:t>If any, please highlight and explain differences between</w:t>
            </w:r>
            <w:r w:rsidR="00BF05E9" w:rsidRPr="00D759CB">
              <w:rPr>
                <w:sz w:val="24"/>
                <w:szCs w:val="24"/>
              </w:rPr>
              <w:t xml:space="preserve"> the approach for</w:t>
            </w:r>
            <w:r w:rsidR="00C559E1" w:rsidRPr="00D759CB">
              <w:rPr>
                <w:sz w:val="24"/>
                <w:szCs w:val="24"/>
              </w:rPr>
              <w:t xml:space="preserve"> rated corporate</w:t>
            </w:r>
            <w:r w:rsidR="00C2164F" w:rsidRPr="00D759CB">
              <w:rPr>
                <w:sz w:val="24"/>
                <w:szCs w:val="24"/>
              </w:rPr>
              <w:t xml:space="preserve"> exposures</w:t>
            </w:r>
            <w:r w:rsidR="00C559E1" w:rsidRPr="00D759CB">
              <w:rPr>
                <w:sz w:val="24"/>
                <w:szCs w:val="24"/>
              </w:rPr>
              <w:t xml:space="preserve"> and unrated corporate</w:t>
            </w:r>
            <w:r w:rsidR="00C2164F" w:rsidRPr="00D759CB">
              <w:rPr>
                <w:sz w:val="24"/>
                <w:szCs w:val="24"/>
              </w:rPr>
              <w:t xml:space="preserve"> exposures</w:t>
            </w:r>
            <w:r w:rsidRPr="00D759CB">
              <w:rPr>
                <w:sz w:val="24"/>
                <w:szCs w:val="24"/>
              </w:rPr>
              <w:t>)</w:t>
            </w:r>
            <w:r w:rsidR="00C559E1" w:rsidRPr="00D759CB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-547303907"/>
            <w:placeholder>
              <w:docPart w:val="DefaultPlaceholder_-1854013440"/>
            </w:placeholder>
            <w:showingPlcHdr/>
          </w:sdtPr>
          <w:sdtContent>
            <w:tc>
              <w:tcPr>
                <w:tcW w:w="3634" w:type="dxa"/>
              </w:tcPr>
              <w:p w14:paraId="12DAF56B" w14:textId="5151C4CF" w:rsidR="008B44DE" w:rsidRPr="00D759CB" w:rsidRDefault="00D759CB" w:rsidP="00D52B22">
                <w:pPr>
                  <w:rPr>
                    <w:sz w:val="24"/>
                    <w:szCs w:val="24"/>
                  </w:rPr>
                </w:pPr>
                <w:r w:rsidRPr="00F21D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04EA" w:rsidRPr="00D759CB" w14:paraId="0D8778CA" w14:textId="77777777" w:rsidTr="00AB1E13">
        <w:tc>
          <w:tcPr>
            <w:tcW w:w="5382" w:type="dxa"/>
          </w:tcPr>
          <w:p w14:paraId="70AF427F" w14:textId="3921B0CE" w:rsidR="001204EA" w:rsidRPr="00D759CB" w:rsidRDefault="001204EA" w:rsidP="001204EA">
            <w:pPr>
              <w:spacing w:line="276" w:lineRule="auto"/>
              <w:rPr>
                <w:sz w:val="24"/>
                <w:szCs w:val="24"/>
              </w:rPr>
            </w:pPr>
            <w:r w:rsidRPr="00D759CB">
              <w:rPr>
                <w:sz w:val="24"/>
                <w:szCs w:val="24"/>
              </w:rPr>
              <w:t>(b) description of risk measurement policies</w:t>
            </w:r>
            <w:r w:rsidR="00BF05E9" w:rsidRPr="00D759CB">
              <w:rPr>
                <w:sz w:val="24"/>
                <w:szCs w:val="24"/>
              </w:rPr>
              <w:t xml:space="preserve"> and the</w:t>
            </w:r>
            <w:r w:rsidRPr="00D759CB">
              <w:rPr>
                <w:sz w:val="24"/>
                <w:szCs w:val="24"/>
              </w:rPr>
              <w:t xml:space="preserve"> evaluation</w:t>
            </w:r>
            <w:r w:rsidR="003F1F38" w:rsidRPr="00D759CB">
              <w:rPr>
                <w:sz w:val="24"/>
                <w:szCs w:val="24"/>
              </w:rPr>
              <w:t xml:space="preserve"> of risk measurement </w:t>
            </w:r>
            <w:r w:rsidRPr="00D759CB">
              <w:rPr>
                <w:sz w:val="24"/>
                <w:szCs w:val="24"/>
              </w:rPr>
              <w:t xml:space="preserve">and how these are applied </w:t>
            </w:r>
            <w:r w:rsidR="00C2164F" w:rsidRPr="00D759CB">
              <w:rPr>
                <w:sz w:val="24"/>
                <w:szCs w:val="24"/>
              </w:rPr>
              <w:t xml:space="preserve">at subsidiary level and consolidated level </w:t>
            </w:r>
            <w:r w:rsidRPr="00D759CB">
              <w:rPr>
                <w:sz w:val="24"/>
                <w:szCs w:val="24"/>
              </w:rPr>
              <w:t>for exposures to corporates; and</w:t>
            </w:r>
          </w:p>
          <w:p w14:paraId="054AD179" w14:textId="77777777" w:rsidR="00E73C2C" w:rsidRPr="00D759CB" w:rsidRDefault="00E73C2C" w:rsidP="001204EA">
            <w:pPr>
              <w:spacing w:line="276" w:lineRule="auto"/>
              <w:rPr>
                <w:sz w:val="24"/>
                <w:szCs w:val="24"/>
              </w:rPr>
            </w:pPr>
          </w:p>
          <w:p w14:paraId="230B9037" w14:textId="00EFAFB5" w:rsidR="00E73C2C" w:rsidRPr="00D759CB" w:rsidRDefault="00E73C2C" w:rsidP="001204EA">
            <w:pPr>
              <w:spacing w:line="276" w:lineRule="auto"/>
              <w:rPr>
                <w:sz w:val="24"/>
                <w:szCs w:val="24"/>
              </w:rPr>
            </w:pPr>
            <w:r w:rsidRPr="00D759CB">
              <w:rPr>
                <w:sz w:val="24"/>
                <w:szCs w:val="24"/>
              </w:rPr>
              <w:t>(If any, please highlight and explain differences between</w:t>
            </w:r>
            <w:r w:rsidR="00BF05E9" w:rsidRPr="00D759CB">
              <w:rPr>
                <w:sz w:val="24"/>
                <w:szCs w:val="24"/>
              </w:rPr>
              <w:t xml:space="preserve"> the approach for</w:t>
            </w:r>
            <w:r w:rsidRPr="00D759CB">
              <w:rPr>
                <w:sz w:val="24"/>
                <w:szCs w:val="24"/>
              </w:rPr>
              <w:t xml:space="preserve"> rated corporate</w:t>
            </w:r>
            <w:r w:rsidR="00C2164F" w:rsidRPr="00D759CB">
              <w:rPr>
                <w:sz w:val="24"/>
                <w:szCs w:val="24"/>
              </w:rPr>
              <w:t xml:space="preserve"> exposures</w:t>
            </w:r>
            <w:r w:rsidRPr="00D759CB">
              <w:rPr>
                <w:sz w:val="24"/>
                <w:szCs w:val="24"/>
              </w:rPr>
              <w:t xml:space="preserve"> and unrated corporate</w:t>
            </w:r>
            <w:r w:rsidR="00C2164F" w:rsidRPr="00D759CB">
              <w:rPr>
                <w:sz w:val="24"/>
                <w:szCs w:val="24"/>
              </w:rPr>
              <w:t xml:space="preserve"> exposures</w:t>
            </w:r>
            <w:r w:rsidRPr="00D759CB">
              <w:rPr>
                <w:sz w:val="24"/>
                <w:szCs w:val="24"/>
              </w:rPr>
              <w:t>)</w:t>
            </w:r>
          </w:p>
        </w:tc>
        <w:sdt>
          <w:sdtPr>
            <w:rPr>
              <w:sz w:val="24"/>
              <w:szCs w:val="24"/>
            </w:rPr>
            <w:id w:val="-10118309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34" w:type="dxa"/>
              </w:tcPr>
              <w:p w14:paraId="0DA85311" w14:textId="06C72804" w:rsidR="001204EA" w:rsidRPr="00D759CB" w:rsidRDefault="00371804" w:rsidP="00D52B22">
                <w:pPr>
                  <w:rPr>
                    <w:sz w:val="24"/>
                    <w:szCs w:val="24"/>
                  </w:rPr>
                </w:pPr>
                <w:r w:rsidRPr="00D759CB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204EA" w:rsidRPr="00D759CB" w14:paraId="06FDA783" w14:textId="77777777" w:rsidTr="00AB1E13">
        <w:tc>
          <w:tcPr>
            <w:tcW w:w="5382" w:type="dxa"/>
          </w:tcPr>
          <w:p w14:paraId="1AB550BA" w14:textId="1513414A" w:rsidR="001204EA" w:rsidRPr="00D759CB" w:rsidRDefault="003F1F38" w:rsidP="001204EA">
            <w:pPr>
              <w:spacing w:line="276" w:lineRule="auto"/>
              <w:rPr>
                <w:sz w:val="24"/>
                <w:szCs w:val="24"/>
              </w:rPr>
            </w:pPr>
            <w:r w:rsidRPr="00D759CB">
              <w:rPr>
                <w:sz w:val="24"/>
                <w:szCs w:val="24"/>
              </w:rPr>
              <w:t xml:space="preserve">(c) </w:t>
            </w:r>
            <w:r w:rsidR="001204EA" w:rsidRPr="00D759CB">
              <w:rPr>
                <w:sz w:val="24"/>
                <w:szCs w:val="24"/>
              </w:rPr>
              <w:t>description of the exposure allocation process between investment grade and non-</w:t>
            </w:r>
            <w:r w:rsidR="001204EA" w:rsidRPr="00D759CB">
              <w:rPr>
                <w:sz w:val="24"/>
                <w:szCs w:val="24"/>
              </w:rPr>
              <w:lastRenderedPageBreak/>
              <w:t>investment grade unrated corporate exposures, including the non-exhaustive list below:</w:t>
            </w:r>
          </w:p>
        </w:tc>
        <w:sdt>
          <w:sdtPr>
            <w:rPr>
              <w:sz w:val="24"/>
              <w:szCs w:val="24"/>
            </w:rPr>
            <w:id w:val="3916220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34" w:type="dxa"/>
              </w:tcPr>
              <w:p w14:paraId="38E6BD6C" w14:textId="75289648" w:rsidR="001204EA" w:rsidRPr="00D759CB" w:rsidRDefault="00371804" w:rsidP="00D52B22">
                <w:pPr>
                  <w:rPr>
                    <w:sz w:val="24"/>
                    <w:szCs w:val="24"/>
                  </w:rPr>
                </w:pPr>
                <w:r w:rsidRPr="00D759CB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F1200" w:rsidRPr="00D759CB" w14:paraId="1847938B" w14:textId="77777777" w:rsidTr="00A423E5">
        <w:tc>
          <w:tcPr>
            <w:tcW w:w="5382" w:type="dxa"/>
          </w:tcPr>
          <w:p w14:paraId="35463345" w14:textId="0A9FDD2E" w:rsidR="009F1200" w:rsidRPr="00D759CB" w:rsidRDefault="009F1200" w:rsidP="001204EA">
            <w:pPr>
              <w:spacing w:line="276" w:lineRule="auto"/>
              <w:rPr>
                <w:sz w:val="24"/>
                <w:szCs w:val="24"/>
              </w:rPr>
            </w:pPr>
            <w:r w:rsidRPr="00D759CB">
              <w:rPr>
                <w:sz w:val="24"/>
                <w:szCs w:val="24"/>
              </w:rPr>
              <w:t>(i) a clear explanation of how the exposure allocation process corresponds to the internal risk management rating system</w:t>
            </w:r>
            <w:r w:rsidR="00EF5FA0" w:rsidRPr="00D759CB">
              <w:rPr>
                <w:sz w:val="24"/>
                <w:szCs w:val="24"/>
              </w:rPr>
              <w:t xml:space="preserve"> and due diligence practices</w:t>
            </w:r>
            <w:r w:rsidRPr="00D759CB">
              <w:rPr>
                <w:sz w:val="24"/>
                <w:szCs w:val="24"/>
              </w:rPr>
              <w:t>;</w:t>
            </w:r>
          </w:p>
        </w:tc>
        <w:sdt>
          <w:sdtPr>
            <w:rPr>
              <w:sz w:val="24"/>
              <w:szCs w:val="24"/>
            </w:rPr>
            <w:id w:val="13004182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34" w:type="dxa"/>
              </w:tcPr>
              <w:p w14:paraId="6129B668" w14:textId="5D8B7B59" w:rsidR="009F1200" w:rsidRPr="00D759CB" w:rsidRDefault="00371804" w:rsidP="00D52B22">
                <w:pPr>
                  <w:rPr>
                    <w:sz w:val="24"/>
                    <w:szCs w:val="24"/>
                  </w:rPr>
                </w:pPr>
                <w:r w:rsidRPr="00D759CB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B048C1" w:rsidRPr="00D759CB" w14:paraId="7698C869" w14:textId="77777777" w:rsidTr="00A423E5">
        <w:tc>
          <w:tcPr>
            <w:tcW w:w="5382" w:type="dxa"/>
          </w:tcPr>
          <w:p w14:paraId="7A1B1E25" w14:textId="429E4C38" w:rsidR="00B048C1" w:rsidRPr="00D759CB" w:rsidRDefault="00B048C1" w:rsidP="001204EA">
            <w:pPr>
              <w:spacing w:line="276" w:lineRule="auto"/>
              <w:rPr>
                <w:sz w:val="24"/>
                <w:szCs w:val="24"/>
              </w:rPr>
            </w:pPr>
            <w:r w:rsidRPr="00D759CB">
              <w:rPr>
                <w:sz w:val="24"/>
                <w:szCs w:val="24"/>
              </w:rPr>
              <w:t>(ii) key risk information used for the exposure allocation process;</w:t>
            </w:r>
          </w:p>
        </w:tc>
        <w:sdt>
          <w:sdtPr>
            <w:rPr>
              <w:sz w:val="24"/>
              <w:szCs w:val="24"/>
            </w:rPr>
            <w:id w:val="514348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34" w:type="dxa"/>
              </w:tcPr>
              <w:p w14:paraId="7D606893" w14:textId="58125F89" w:rsidR="00B048C1" w:rsidRPr="00D759CB" w:rsidRDefault="00371804" w:rsidP="00D52B22">
                <w:pPr>
                  <w:rPr>
                    <w:sz w:val="24"/>
                    <w:szCs w:val="24"/>
                  </w:rPr>
                </w:pPr>
                <w:r w:rsidRPr="00D759CB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204EA" w:rsidRPr="00D759CB" w14:paraId="435AD64F" w14:textId="77777777" w:rsidTr="00AB1E13">
        <w:tc>
          <w:tcPr>
            <w:tcW w:w="5382" w:type="dxa"/>
          </w:tcPr>
          <w:p w14:paraId="04354F0D" w14:textId="04C8CF6C" w:rsidR="00B048C1" w:rsidRPr="00D759CB" w:rsidRDefault="003F1F38" w:rsidP="00D52B22">
            <w:pPr>
              <w:spacing w:line="276" w:lineRule="auto"/>
              <w:rPr>
                <w:sz w:val="24"/>
                <w:szCs w:val="24"/>
              </w:rPr>
            </w:pPr>
            <w:r w:rsidRPr="00D759CB">
              <w:rPr>
                <w:sz w:val="24"/>
                <w:szCs w:val="24"/>
              </w:rPr>
              <w:t>(i</w:t>
            </w:r>
            <w:r w:rsidR="00B048C1" w:rsidRPr="00D759CB">
              <w:rPr>
                <w:sz w:val="24"/>
                <w:szCs w:val="24"/>
              </w:rPr>
              <w:t>i</w:t>
            </w:r>
            <w:r w:rsidR="009F1200" w:rsidRPr="00D759CB">
              <w:rPr>
                <w:sz w:val="24"/>
                <w:szCs w:val="24"/>
              </w:rPr>
              <w:t>i</w:t>
            </w:r>
            <w:r w:rsidRPr="00D759CB">
              <w:rPr>
                <w:sz w:val="24"/>
                <w:szCs w:val="24"/>
              </w:rPr>
              <w:t>) breakdown of exposures to counterparties (investment grade and non-investment grade)</w:t>
            </w:r>
            <w:r w:rsidR="00092CD1" w:rsidRPr="00D759CB">
              <w:rPr>
                <w:sz w:val="24"/>
                <w:szCs w:val="24"/>
              </w:rPr>
              <w:t>, including</w:t>
            </w:r>
            <w:r w:rsidRPr="00D759CB">
              <w:rPr>
                <w:sz w:val="24"/>
                <w:szCs w:val="24"/>
              </w:rPr>
              <w:t xml:space="preserve"> </w:t>
            </w:r>
            <w:r w:rsidR="00092CD1" w:rsidRPr="00D759CB">
              <w:rPr>
                <w:sz w:val="24"/>
                <w:szCs w:val="24"/>
              </w:rPr>
              <w:t>credit risk and counterparty credit risk with relevant exposure information</w:t>
            </w:r>
            <w:r w:rsidRPr="00D759CB">
              <w:rPr>
                <w:sz w:val="24"/>
                <w:szCs w:val="24"/>
              </w:rPr>
              <w:t xml:space="preserve"> (</w:t>
            </w:r>
            <w:r w:rsidR="00B048C1" w:rsidRPr="00D759CB">
              <w:rPr>
                <w:sz w:val="24"/>
                <w:szCs w:val="24"/>
              </w:rPr>
              <w:t>d</w:t>
            </w:r>
            <w:r w:rsidRPr="00D759CB">
              <w:rPr>
                <w:sz w:val="24"/>
                <w:szCs w:val="24"/>
              </w:rPr>
              <w:t>rawn amount, limit, exposure at default, risk weighted exposure amount</w:t>
            </w:r>
            <w:proofErr w:type="gramStart"/>
            <w:r w:rsidR="0014381A" w:rsidRPr="00D759CB">
              <w:rPr>
                <w:sz w:val="24"/>
                <w:szCs w:val="24"/>
              </w:rPr>
              <w:t>)</w:t>
            </w:r>
            <w:r w:rsidR="00B048C1" w:rsidRPr="00D759CB">
              <w:rPr>
                <w:sz w:val="24"/>
                <w:szCs w:val="24"/>
              </w:rPr>
              <w:t>;</w:t>
            </w:r>
            <w:proofErr w:type="gramEnd"/>
          </w:p>
          <w:p w14:paraId="73C5C3CB" w14:textId="77777777" w:rsidR="00B048C1" w:rsidRPr="00D759CB" w:rsidRDefault="00B048C1" w:rsidP="00D52B22">
            <w:pPr>
              <w:spacing w:line="276" w:lineRule="auto"/>
              <w:rPr>
                <w:sz w:val="24"/>
                <w:szCs w:val="24"/>
              </w:rPr>
            </w:pPr>
          </w:p>
          <w:p w14:paraId="7062C49D" w14:textId="53122256" w:rsidR="001204EA" w:rsidRPr="00D759CB" w:rsidRDefault="00E73C2C" w:rsidP="00D52B22">
            <w:pPr>
              <w:spacing w:line="276" w:lineRule="auto"/>
              <w:rPr>
                <w:sz w:val="24"/>
                <w:szCs w:val="24"/>
              </w:rPr>
            </w:pPr>
            <w:r w:rsidRPr="00D759CB">
              <w:rPr>
                <w:sz w:val="24"/>
                <w:szCs w:val="24"/>
              </w:rPr>
              <w:t>(</w:t>
            </w:r>
            <w:r w:rsidR="00A14AE6" w:rsidRPr="00D759CB">
              <w:rPr>
                <w:sz w:val="24"/>
                <w:szCs w:val="24"/>
              </w:rPr>
              <w:t>This should be produced both for the current book as well as any material anticipated future changes</w:t>
            </w:r>
            <w:r w:rsidRPr="00D759CB">
              <w:rPr>
                <w:sz w:val="24"/>
                <w:szCs w:val="24"/>
              </w:rPr>
              <w:t>)</w:t>
            </w:r>
          </w:p>
        </w:tc>
        <w:sdt>
          <w:sdtPr>
            <w:rPr>
              <w:sz w:val="24"/>
              <w:szCs w:val="24"/>
            </w:rPr>
            <w:id w:val="20897226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34" w:type="dxa"/>
              </w:tcPr>
              <w:p w14:paraId="181D9E9E" w14:textId="02DE6D92" w:rsidR="001204EA" w:rsidRPr="00D759CB" w:rsidRDefault="00371804" w:rsidP="00D52B22">
                <w:pPr>
                  <w:rPr>
                    <w:sz w:val="24"/>
                    <w:szCs w:val="24"/>
                  </w:rPr>
                </w:pPr>
                <w:r w:rsidRPr="00D759CB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204EA" w:rsidRPr="00D759CB" w14:paraId="25D2D316" w14:textId="77777777" w:rsidTr="00AB1E13">
        <w:tc>
          <w:tcPr>
            <w:tcW w:w="5382" w:type="dxa"/>
          </w:tcPr>
          <w:p w14:paraId="38ACF446" w14:textId="2D47598B" w:rsidR="001204EA" w:rsidRPr="00D759CB" w:rsidRDefault="003F1F38" w:rsidP="00D52B22">
            <w:pPr>
              <w:spacing w:line="276" w:lineRule="auto"/>
              <w:rPr>
                <w:sz w:val="24"/>
                <w:szCs w:val="24"/>
              </w:rPr>
            </w:pPr>
            <w:r w:rsidRPr="00D759CB">
              <w:rPr>
                <w:sz w:val="24"/>
                <w:szCs w:val="24"/>
              </w:rPr>
              <w:t>(</w:t>
            </w:r>
            <w:r w:rsidR="009F1200" w:rsidRPr="00D759CB">
              <w:rPr>
                <w:sz w:val="24"/>
                <w:szCs w:val="24"/>
              </w:rPr>
              <w:t>i</w:t>
            </w:r>
            <w:r w:rsidR="00B048C1" w:rsidRPr="00D759CB">
              <w:rPr>
                <w:sz w:val="24"/>
                <w:szCs w:val="24"/>
              </w:rPr>
              <w:t>v</w:t>
            </w:r>
            <w:r w:rsidRPr="00D759CB">
              <w:rPr>
                <w:sz w:val="24"/>
                <w:szCs w:val="24"/>
              </w:rPr>
              <w:t xml:space="preserve">) analysis on the impact </w:t>
            </w:r>
            <w:r w:rsidR="0014381A" w:rsidRPr="00D759CB">
              <w:rPr>
                <w:sz w:val="24"/>
                <w:szCs w:val="24"/>
              </w:rPr>
              <w:t>of</w:t>
            </w:r>
            <w:r w:rsidR="00A14AE6" w:rsidRPr="00D759CB">
              <w:rPr>
                <w:sz w:val="24"/>
                <w:szCs w:val="24"/>
              </w:rPr>
              <w:t xml:space="preserve"> applying the risk weights in paragraphs (a) to (b) of Article 122(6) of the Credit Risk: Standardised Approach (CRR) Part</w:t>
            </w:r>
            <w:r w:rsidR="0014381A" w:rsidRPr="00D759CB">
              <w:rPr>
                <w:sz w:val="24"/>
                <w:szCs w:val="24"/>
              </w:rPr>
              <w:t xml:space="preserve"> </w:t>
            </w:r>
            <w:r w:rsidRPr="00D759CB">
              <w:rPr>
                <w:sz w:val="24"/>
                <w:szCs w:val="24"/>
              </w:rPr>
              <w:t>on own funds requirements; and</w:t>
            </w:r>
          </w:p>
        </w:tc>
        <w:sdt>
          <w:sdtPr>
            <w:rPr>
              <w:sz w:val="24"/>
              <w:szCs w:val="24"/>
            </w:rPr>
            <w:id w:val="-3020838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34" w:type="dxa"/>
              </w:tcPr>
              <w:p w14:paraId="5E23FDF7" w14:textId="5E6E0304" w:rsidR="001204EA" w:rsidRPr="00D759CB" w:rsidRDefault="00371804" w:rsidP="00D52B22">
                <w:pPr>
                  <w:rPr>
                    <w:sz w:val="24"/>
                    <w:szCs w:val="24"/>
                  </w:rPr>
                </w:pPr>
                <w:r w:rsidRPr="00D759CB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F1F38" w:rsidRPr="00D759CB" w14:paraId="5B6740A1" w14:textId="77777777" w:rsidTr="00AB1E13">
        <w:tc>
          <w:tcPr>
            <w:tcW w:w="5382" w:type="dxa"/>
          </w:tcPr>
          <w:p w14:paraId="512569D8" w14:textId="61EBE914" w:rsidR="003F1F38" w:rsidRPr="00D759CB" w:rsidRDefault="003F1F38" w:rsidP="00D52B22">
            <w:pPr>
              <w:spacing w:line="276" w:lineRule="auto"/>
              <w:rPr>
                <w:sz w:val="24"/>
                <w:szCs w:val="24"/>
              </w:rPr>
            </w:pPr>
            <w:r w:rsidRPr="00D759CB">
              <w:rPr>
                <w:sz w:val="24"/>
                <w:szCs w:val="24"/>
              </w:rPr>
              <w:t>(v) an attestation, either from the firm’s Internal Audit function or a competent external party, that the firm has sufficient and adequate processes to robustly distinguish between investment and non-investment grade unrated corporates, and to robustly monitor the allocation on an ongoing basis.</w:t>
            </w:r>
          </w:p>
        </w:tc>
        <w:sdt>
          <w:sdtPr>
            <w:rPr>
              <w:sz w:val="24"/>
              <w:szCs w:val="24"/>
            </w:rPr>
            <w:id w:val="13997037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34" w:type="dxa"/>
              </w:tcPr>
              <w:p w14:paraId="235A5478" w14:textId="778C8C95" w:rsidR="003F1F38" w:rsidRPr="00D759CB" w:rsidRDefault="00371804" w:rsidP="00D52B22">
                <w:pPr>
                  <w:rPr>
                    <w:sz w:val="24"/>
                    <w:szCs w:val="24"/>
                  </w:rPr>
                </w:pPr>
                <w:r w:rsidRPr="00D759CB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7ABED429" w14:textId="77777777" w:rsidR="00BC329A" w:rsidRPr="00D759CB" w:rsidRDefault="00BC329A">
      <w:pPr>
        <w:rPr>
          <w:sz w:val="24"/>
          <w:szCs w:val="24"/>
        </w:rPr>
      </w:pPr>
    </w:p>
    <w:sectPr w:rsidR="00BC329A" w:rsidRPr="00D759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A4652"/>
    <w:multiLevelType w:val="hybridMultilevel"/>
    <w:tmpl w:val="B810B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460B3"/>
    <w:multiLevelType w:val="hybridMultilevel"/>
    <w:tmpl w:val="B2FC0764"/>
    <w:lvl w:ilvl="0" w:tplc="FC528218">
      <w:start w:val="1"/>
      <w:numFmt w:val="upperLetter"/>
      <w:pStyle w:val="CoverSheetList1Instrument"/>
      <w:lvlText w:val="%1."/>
      <w:lvlJc w:val="left"/>
      <w:pPr>
        <w:ind w:left="35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 w15:restartNumberingAfterBreak="0">
    <w:nsid w:val="7B01350D"/>
    <w:multiLevelType w:val="hybridMultilevel"/>
    <w:tmpl w:val="6702200A"/>
    <w:lvl w:ilvl="0" w:tplc="2EBAF1BE">
      <w:start w:val="1"/>
      <w:numFmt w:val="decimal"/>
      <w:pStyle w:val="ListParagraph"/>
      <w:suff w:val="space"/>
      <w:lvlText w:val="%1)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06597690">
    <w:abstractNumId w:val="2"/>
  </w:num>
  <w:num w:numId="2" w16cid:durableId="885531163">
    <w:abstractNumId w:val="0"/>
  </w:num>
  <w:num w:numId="3" w16cid:durableId="1237126535">
    <w:abstractNumId w:val="1"/>
  </w:num>
  <w:num w:numId="4" w16cid:durableId="1399087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4XxO33f2Z7CS9F6fdZXAB26BN3zLeAmOwicCcCtLRt88J6muiMF6gjREuggN1YUd3PLY13p1YiZVCNLm6Xbdg==" w:salt="ZAo6FpAORdR/2arlzbVN+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4DE"/>
    <w:rsid w:val="00083AD7"/>
    <w:rsid w:val="00092CD1"/>
    <w:rsid w:val="000A6727"/>
    <w:rsid w:val="000B1344"/>
    <w:rsid w:val="000B2A90"/>
    <w:rsid w:val="000E6BEE"/>
    <w:rsid w:val="000F4F2C"/>
    <w:rsid w:val="0010389A"/>
    <w:rsid w:val="001204EA"/>
    <w:rsid w:val="0014381A"/>
    <w:rsid w:val="001D307E"/>
    <w:rsid w:val="001E58D8"/>
    <w:rsid w:val="00222AA6"/>
    <w:rsid w:val="002643EA"/>
    <w:rsid w:val="00271523"/>
    <w:rsid w:val="002A5F49"/>
    <w:rsid w:val="00371804"/>
    <w:rsid w:val="003D428D"/>
    <w:rsid w:val="003E3CBD"/>
    <w:rsid w:val="003F1F38"/>
    <w:rsid w:val="004538D9"/>
    <w:rsid w:val="004A0127"/>
    <w:rsid w:val="004A01AB"/>
    <w:rsid w:val="004C0285"/>
    <w:rsid w:val="004F0B79"/>
    <w:rsid w:val="00500122"/>
    <w:rsid w:val="00504ACC"/>
    <w:rsid w:val="00516DFE"/>
    <w:rsid w:val="00530A72"/>
    <w:rsid w:val="00546248"/>
    <w:rsid w:val="0055418E"/>
    <w:rsid w:val="00565B61"/>
    <w:rsid w:val="005957CF"/>
    <w:rsid w:val="005B6034"/>
    <w:rsid w:val="005D30B6"/>
    <w:rsid w:val="005F0753"/>
    <w:rsid w:val="00611DBA"/>
    <w:rsid w:val="006D046D"/>
    <w:rsid w:val="00756351"/>
    <w:rsid w:val="00756590"/>
    <w:rsid w:val="00767F57"/>
    <w:rsid w:val="00772D39"/>
    <w:rsid w:val="007A76C1"/>
    <w:rsid w:val="00823F20"/>
    <w:rsid w:val="00827EC3"/>
    <w:rsid w:val="008403AE"/>
    <w:rsid w:val="00855079"/>
    <w:rsid w:val="00885321"/>
    <w:rsid w:val="008B44DE"/>
    <w:rsid w:val="009C79D8"/>
    <w:rsid w:val="009D0259"/>
    <w:rsid w:val="009F1200"/>
    <w:rsid w:val="00A14AE6"/>
    <w:rsid w:val="00A423E5"/>
    <w:rsid w:val="00A451F3"/>
    <w:rsid w:val="00AB1E13"/>
    <w:rsid w:val="00AE2E9B"/>
    <w:rsid w:val="00B048C1"/>
    <w:rsid w:val="00B46C95"/>
    <w:rsid w:val="00B57DA1"/>
    <w:rsid w:val="00B80F1E"/>
    <w:rsid w:val="00BC329A"/>
    <w:rsid w:val="00BC3455"/>
    <w:rsid w:val="00BF05E9"/>
    <w:rsid w:val="00C2164F"/>
    <w:rsid w:val="00C559E1"/>
    <w:rsid w:val="00D65263"/>
    <w:rsid w:val="00D759CB"/>
    <w:rsid w:val="00DD02EC"/>
    <w:rsid w:val="00E73C2C"/>
    <w:rsid w:val="00E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F3380"/>
  <w15:chartTrackingRefBased/>
  <w15:docId w15:val="{643A4731-CD0F-4E4A-BC13-D41B786A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8B44DE"/>
    <w:pPr>
      <w:spacing w:after="0" w:line="360" w:lineRule="auto"/>
    </w:pPr>
    <w:rPr>
      <w:rFonts w:ascii="Arial" w:eastAsiaTheme="minorEastAsia" w:hAnsi="Arial"/>
      <w:sz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44DE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B44DE"/>
    <w:pPr>
      <w:numPr>
        <w:numId w:val="1"/>
      </w:numPr>
      <w:spacing w:after="200"/>
    </w:pPr>
  </w:style>
  <w:style w:type="character" w:styleId="CommentReference">
    <w:name w:val="annotation reference"/>
    <w:basedOn w:val="DefaultParagraphFont"/>
    <w:uiPriority w:val="99"/>
    <w:semiHidden/>
    <w:unhideWhenUsed/>
    <w:rsid w:val="008B44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4D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4DE"/>
    <w:rPr>
      <w:rFonts w:ascii="Arial" w:eastAsiaTheme="minorEastAsia" w:hAnsi="Arial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4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4DE"/>
    <w:rPr>
      <w:rFonts w:ascii="Segoe UI" w:eastAsiaTheme="minorEastAsia" w:hAnsi="Segoe UI" w:cs="Segoe UI"/>
      <w:sz w:val="18"/>
      <w:szCs w:val="18"/>
      <w:lang w:eastAsia="en-GB"/>
    </w:rPr>
  </w:style>
  <w:style w:type="paragraph" w:customStyle="1" w:styleId="CoverSheetList1Instrument">
    <w:name w:val="Cover Sheet List 1 Instrument"/>
    <w:basedOn w:val="ListParagraph"/>
    <w:uiPriority w:val="99"/>
    <w:qFormat/>
    <w:rsid w:val="00767F57"/>
    <w:pPr>
      <w:numPr>
        <w:numId w:val="3"/>
      </w:numPr>
      <w:autoSpaceDE w:val="0"/>
      <w:autoSpaceDN w:val="0"/>
      <w:adjustRightInd w:val="0"/>
      <w:spacing w:before="120" w:after="0" w:line="240" w:lineRule="auto"/>
      <w:ind w:left="357" w:hanging="357"/>
      <w:contextualSpacing/>
    </w:pPr>
    <w:rPr>
      <w:rFonts w:eastAsiaTheme="minorHAnsi" w:cs="Arial"/>
      <w:color w:val="000000"/>
      <w:szCs w:val="20"/>
      <w:lang w:eastAsia="en-US"/>
    </w:rPr>
  </w:style>
  <w:style w:type="paragraph" w:customStyle="1" w:styleId="List1Instrument">
    <w:name w:val="List 1 Instrument"/>
    <w:basedOn w:val="Normal"/>
    <w:link w:val="List1InstrumentChar"/>
    <w:qFormat/>
    <w:rsid w:val="00BC3455"/>
    <w:pPr>
      <w:spacing w:before="120" w:after="120" w:line="276" w:lineRule="auto"/>
      <w:ind w:left="567" w:hanging="567"/>
    </w:pPr>
    <w:rPr>
      <w:rFonts w:eastAsiaTheme="minorHAnsi" w:cs="Arial"/>
      <w:szCs w:val="20"/>
      <w:lang w:eastAsia="en-US"/>
    </w:rPr>
  </w:style>
  <w:style w:type="paragraph" w:customStyle="1" w:styleId="List2Instrument">
    <w:name w:val="List 2 Instrument"/>
    <w:basedOn w:val="Normal"/>
    <w:link w:val="List2InstrumentChar"/>
    <w:qFormat/>
    <w:rsid w:val="00BC3455"/>
    <w:pPr>
      <w:spacing w:before="120" w:after="120" w:line="276" w:lineRule="auto"/>
      <w:ind w:left="993" w:hanging="426"/>
    </w:pPr>
    <w:rPr>
      <w:rFonts w:eastAsiaTheme="minorHAnsi" w:cs="Arial"/>
      <w:szCs w:val="20"/>
      <w:lang w:eastAsia="en-US"/>
    </w:rPr>
  </w:style>
  <w:style w:type="character" w:customStyle="1" w:styleId="List1InstrumentChar">
    <w:name w:val="List 1 Instrument Char"/>
    <w:basedOn w:val="DefaultParagraphFont"/>
    <w:link w:val="List1Instrument"/>
    <w:rsid w:val="00BC3455"/>
    <w:rPr>
      <w:rFonts w:ascii="Arial" w:hAnsi="Arial" w:cs="Arial"/>
      <w:sz w:val="20"/>
      <w:szCs w:val="20"/>
    </w:rPr>
  </w:style>
  <w:style w:type="character" w:customStyle="1" w:styleId="List2InstrumentChar">
    <w:name w:val="List 2 Instrument Char"/>
    <w:basedOn w:val="DefaultParagraphFont"/>
    <w:link w:val="List2Instrument"/>
    <w:rsid w:val="00BC3455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4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455"/>
    <w:rPr>
      <w:rFonts w:ascii="Arial" w:eastAsiaTheme="minorEastAsia" w:hAnsi="Arial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5F0753"/>
    <w:pPr>
      <w:spacing w:after="0" w:line="240" w:lineRule="auto"/>
    </w:pPr>
    <w:rPr>
      <w:rFonts w:ascii="Arial" w:eastAsiaTheme="minorEastAsia" w:hAnsi="Arial"/>
      <w:sz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718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F44B9-A684-424D-9570-BD40FCCEA495}"/>
      </w:docPartPr>
      <w:docPartBody>
        <w:p w:rsidR="000B151E" w:rsidRDefault="00491C26">
          <w:r w:rsidRPr="00F21D9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26"/>
    <w:rsid w:val="000B151E"/>
    <w:rsid w:val="003004FA"/>
    <w:rsid w:val="00434DB5"/>
    <w:rsid w:val="00491C26"/>
    <w:rsid w:val="00D078F9"/>
    <w:rsid w:val="00F2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1C2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England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Morgans, Daniel</dc:creator>
  <cp:keywords/>
  <dc:description/>
  <cp:lastModifiedBy>Cunningham, John</cp:lastModifiedBy>
  <cp:revision>6</cp:revision>
  <dcterms:created xsi:type="dcterms:W3CDTF">2024-07-17T13:33:00Z</dcterms:created>
  <dcterms:modified xsi:type="dcterms:W3CDTF">2024-07-17T13:38:00Z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307883732</vt:i4>
  </property>
  <property fmtid="{D5CDD505-2E9C-101B-9397-08002B2CF9AE}" pid="3" name="_NewReviewCycle">
    <vt:lpwstr/>
  </property>
  <property fmtid="{D5CDD505-2E9C-101B-9397-08002B2CF9AE}" pid="4" name="_EmailSubject">
    <vt:lpwstr>IRB Article 143 Form; IRB pro-forma form; unrated corporate exposures forms</vt:lpwstr>
  </property>
  <property fmtid="{D5CDD505-2E9C-101B-9397-08002B2CF9AE}" pid="5" name="_AuthorEmail">
    <vt:lpwstr>John.Cunningham@bankofengland.co.uk</vt:lpwstr>
  </property>
  <property fmtid="{D5CDD505-2E9C-101B-9397-08002B2CF9AE}" pid="6" name="_AuthorEmailDisplayName">
    <vt:lpwstr>Cunningham, John</vt:lpwstr>
  </property>
</Properties>
</file>